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19" w:type="pct"/>
        <w:tblInd w:w="108" w:type="dxa"/>
        <w:tblLayout w:type="fixed"/>
        <w:tblLook w:val="01E0" w:firstRow="1" w:lastRow="1" w:firstColumn="1" w:lastColumn="1" w:noHBand="0" w:noVBand="0"/>
      </w:tblPr>
      <w:tblGrid>
        <w:gridCol w:w="9290"/>
      </w:tblGrid>
      <w:tr w:rsidR="006C199B" w:rsidRPr="0023633A" w14:paraId="5A6BA6A8" w14:textId="77777777" w:rsidTr="00FC46B1">
        <w:trPr>
          <w:trHeight w:val="567"/>
        </w:trPr>
        <w:tc>
          <w:tcPr>
            <w:tcW w:w="5000" w:type="pct"/>
          </w:tcPr>
          <w:p w14:paraId="540B37FC" w14:textId="77777777" w:rsidR="006C199B" w:rsidRPr="0023633A" w:rsidRDefault="006C199B" w:rsidP="005B79A7">
            <w:pPr>
              <w:pStyle w:val="AODocTxt"/>
              <w:spacing w:line="240" w:lineRule="auto"/>
              <w:jc w:val="center"/>
              <w:rPr>
                <w:b/>
                <w:noProof/>
                <w:lang w:val="ro-RO"/>
              </w:rPr>
            </w:pPr>
            <w:bookmarkStart w:id="0" w:name="bmkStart"/>
            <w:bookmarkStart w:id="1" w:name="bmkFrontPage"/>
            <w:bookmarkStart w:id="2" w:name="bmkFrontPage98d0b268287140acbef579c54aaf"/>
            <w:r w:rsidRPr="0023633A">
              <w:rPr>
                <w:b/>
                <w:noProof/>
                <w:lang w:val="ro-RO"/>
              </w:rPr>
              <w:t>BALLOT BY CORRESPONDENCE</w:t>
            </w:r>
          </w:p>
          <w:p w14:paraId="4D6F9BC2" w14:textId="6D8EAEB3" w:rsidR="006C199B" w:rsidRPr="0023633A" w:rsidRDefault="003A563B" w:rsidP="005B79A7">
            <w:pPr>
              <w:pStyle w:val="AODocTxt"/>
              <w:spacing w:line="240" w:lineRule="auto"/>
              <w:jc w:val="center"/>
              <w:rPr>
                <w:b/>
                <w:noProof/>
                <w:lang w:val="ro-RO"/>
              </w:rPr>
            </w:pPr>
            <w:r w:rsidRPr="0023633A">
              <w:rPr>
                <w:b/>
                <w:noProof/>
                <w:lang w:val="ro-RO"/>
              </w:rPr>
              <w:t xml:space="preserve">for shareholders </w:t>
            </w:r>
            <w:r w:rsidR="009B702A" w:rsidRPr="0023633A">
              <w:rPr>
                <w:b/>
                <w:noProof/>
                <w:lang w:val="ro-RO"/>
              </w:rPr>
              <w:t xml:space="preserve">acting as private </w:t>
            </w:r>
            <w:r w:rsidRPr="0023633A">
              <w:rPr>
                <w:b/>
                <w:noProof/>
                <w:lang w:val="ro-RO"/>
              </w:rPr>
              <w:t>individuals</w:t>
            </w:r>
          </w:p>
          <w:p w14:paraId="4DB739D1" w14:textId="18DD1380" w:rsidR="003A563B" w:rsidRPr="0023633A" w:rsidRDefault="006C199B" w:rsidP="005B79A7">
            <w:pPr>
              <w:pStyle w:val="AODocTxt"/>
              <w:spacing w:line="240" w:lineRule="auto"/>
              <w:jc w:val="center"/>
              <w:rPr>
                <w:b/>
                <w:noProof/>
                <w:lang w:val="ro-RO"/>
              </w:rPr>
            </w:pPr>
            <w:r w:rsidRPr="0023633A">
              <w:rPr>
                <w:b/>
                <w:noProof/>
                <w:lang w:val="ro-RO"/>
              </w:rPr>
              <w:t xml:space="preserve">for the </w:t>
            </w:r>
            <w:r w:rsidR="00C50D7D" w:rsidRPr="0023633A">
              <w:rPr>
                <w:b/>
              </w:rPr>
              <w:t xml:space="preserve">Extraordinary </w:t>
            </w:r>
            <w:r w:rsidRPr="0023633A">
              <w:rPr>
                <w:b/>
                <w:noProof/>
                <w:lang w:val="ro-RO"/>
              </w:rPr>
              <w:t xml:space="preserve">General Shareholders </w:t>
            </w:r>
            <w:r w:rsidR="002501D1" w:rsidRPr="0023633A">
              <w:rPr>
                <w:b/>
                <w:noProof/>
                <w:lang w:val="ro-RO"/>
              </w:rPr>
              <w:t xml:space="preserve">Meeting </w:t>
            </w:r>
            <w:r w:rsidR="003A563B" w:rsidRPr="0023633A">
              <w:rPr>
                <w:b/>
                <w:noProof/>
                <w:lang w:val="ro-RO"/>
              </w:rPr>
              <w:t>of</w:t>
            </w:r>
          </w:p>
          <w:p w14:paraId="0931E6B0" w14:textId="6A81F4BC" w:rsidR="006C199B" w:rsidRPr="0023633A" w:rsidRDefault="002501D1" w:rsidP="005B79A7">
            <w:pPr>
              <w:pStyle w:val="AODocTxt"/>
              <w:spacing w:line="240" w:lineRule="auto"/>
              <w:jc w:val="center"/>
              <w:rPr>
                <w:b/>
                <w:noProof/>
                <w:lang w:val="ro-RO"/>
              </w:rPr>
            </w:pPr>
            <w:r w:rsidRPr="0023633A">
              <w:rPr>
                <w:b/>
                <w:noProof/>
                <w:lang w:val="ro-RO"/>
              </w:rPr>
              <w:t xml:space="preserve">Sphera Franchise Group S.A. of </w:t>
            </w:r>
            <w:r w:rsidR="00393502" w:rsidRPr="0023633A">
              <w:rPr>
                <w:b/>
                <w:noProof/>
                <w:lang w:val="ro-RO"/>
              </w:rPr>
              <w:t>April 26</w:t>
            </w:r>
            <w:r w:rsidR="00393502" w:rsidRPr="0023633A">
              <w:rPr>
                <w:b/>
                <w:noProof/>
                <w:vertAlign w:val="superscript"/>
                <w:lang w:val="ro-RO"/>
              </w:rPr>
              <w:t>th</w:t>
            </w:r>
            <w:r w:rsidR="00393502" w:rsidRPr="0023633A">
              <w:rPr>
                <w:b/>
                <w:noProof/>
                <w:lang w:val="ro-RO"/>
              </w:rPr>
              <w:t>/29</w:t>
            </w:r>
            <w:r w:rsidR="00393502" w:rsidRPr="0023633A">
              <w:rPr>
                <w:b/>
                <w:noProof/>
                <w:vertAlign w:val="superscript"/>
                <w:lang w:val="ro-RO"/>
              </w:rPr>
              <w:t>th</w:t>
            </w:r>
            <w:r w:rsidR="00393502" w:rsidRPr="0023633A">
              <w:rPr>
                <w:b/>
                <w:noProof/>
                <w:lang w:val="ro-RO"/>
              </w:rPr>
              <w:t>, 2024</w:t>
            </w:r>
          </w:p>
        </w:tc>
      </w:tr>
      <w:tr w:rsidR="006C199B" w:rsidRPr="0023633A" w14:paraId="71D87F72" w14:textId="77777777" w:rsidTr="00FC46B1">
        <w:tc>
          <w:tcPr>
            <w:tcW w:w="5000" w:type="pct"/>
          </w:tcPr>
          <w:p w14:paraId="6EE56820" w14:textId="77777777" w:rsidR="006C199B" w:rsidRPr="0023633A" w:rsidRDefault="006C199B" w:rsidP="005B79A7">
            <w:pPr>
              <w:pStyle w:val="AODocTxt"/>
              <w:spacing w:line="240" w:lineRule="auto"/>
              <w:jc w:val="center"/>
              <w:rPr>
                <w:b/>
                <w:noProof/>
                <w:lang w:val="ro-RO"/>
              </w:rPr>
            </w:pPr>
          </w:p>
        </w:tc>
      </w:tr>
      <w:tr w:rsidR="006C199B" w:rsidRPr="0023633A" w14:paraId="77D5D159" w14:textId="77777777" w:rsidTr="00FC46B1">
        <w:tc>
          <w:tcPr>
            <w:tcW w:w="5000" w:type="pct"/>
          </w:tcPr>
          <w:p w14:paraId="199E20F1" w14:textId="77777777" w:rsidR="006C199B" w:rsidRPr="0023633A" w:rsidRDefault="006C199B" w:rsidP="005B79A7">
            <w:pPr>
              <w:pStyle w:val="AODocTxt"/>
              <w:spacing w:line="240" w:lineRule="auto"/>
              <w:rPr>
                <w:noProof/>
                <w:lang w:val="ro-RO"/>
              </w:rPr>
            </w:pPr>
            <w:r w:rsidRPr="0023633A">
              <w:rPr>
                <w:noProof/>
                <w:lang w:val="ro-RO"/>
              </w:rPr>
              <w:t xml:space="preserve">The undersigned, </w:t>
            </w:r>
          </w:p>
          <w:p w14:paraId="62628003" w14:textId="77777777" w:rsidR="006C199B" w:rsidRPr="0023633A" w:rsidRDefault="006C199B" w:rsidP="005B79A7">
            <w:pPr>
              <w:pStyle w:val="AODocTxt"/>
              <w:numPr>
                <w:ilvl w:val="0"/>
                <w:numId w:val="0"/>
              </w:numPr>
              <w:spacing w:line="240" w:lineRule="auto"/>
              <w:rPr>
                <w:noProof/>
                <w:lang w:val="ro-RO"/>
              </w:rPr>
            </w:pPr>
            <w:r w:rsidRPr="0023633A">
              <w:rPr>
                <w:noProof/>
                <w:lang w:val="ro-RO"/>
              </w:rPr>
              <w:t xml:space="preserve">___________________________________________, ________________________ citizen, born at ____________________, on____________________________________, domiciled at _________________________________________________________________________________, identified </w:t>
            </w:r>
            <w:r w:rsidR="002501D1" w:rsidRPr="0023633A">
              <w:rPr>
                <w:noProof/>
                <w:lang w:val="ro-RO"/>
              </w:rPr>
              <w:t xml:space="preserve">with </w:t>
            </w:r>
            <w:r w:rsidRPr="0023633A">
              <w:rPr>
                <w:noProof/>
                <w:lang w:val="ro-RO"/>
              </w:rPr>
              <w:t>identity card/passport series ________________, no. ________________, issued by _______________________________________________,</w:t>
            </w:r>
            <w:r w:rsidR="00256779" w:rsidRPr="0023633A">
              <w:rPr>
                <w:noProof/>
                <w:lang w:val="ro-RO"/>
              </w:rPr>
              <w:t xml:space="preserve"> </w:t>
            </w:r>
            <w:r w:rsidRPr="0023633A">
              <w:rPr>
                <w:noProof/>
                <w:lang w:val="ro-RO"/>
              </w:rPr>
              <w:t>on _____________________, having personal</w:t>
            </w:r>
            <w:r w:rsidR="00190653" w:rsidRPr="0023633A">
              <w:rPr>
                <w:noProof/>
                <w:lang w:val="ro-RO"/>
              </w:rPr>
              <w:t xml:space="preserve"> identification</w:t>
            </w:r>
            <w:r w:rsidRPr="0023633A">
              <w:rPr>
                <w:noProof/>
                <w:lang w:val="ro-RO"/>
              </w:rPr>
              <w:t xml:space="preserve"> number _________________________________________ (the </w:t>
            </w:r>
            <w:r w:rsidR="00190653" w:rsidRPr="0023633A">
              <w:rPr>
                <w:noProof/>
                <w:lang w:val="ro-RO"/>
              </w:rPr>
              <w:t>“</w:t>
            </w:r>
            <w:r w:rsidRPr="0023633A">
              <w:rPr>
                <w:b/>
                <w:noProof/>
                <w:lang w:val="ro-RO"/>
              </w:rPr>
              <w:t>Shareholder</w:t>
            </w:r>
            <w:r w:rsidR="00190653" w:rsidRPr="0023633A">
              <w:rPr>
                <w:b/>
                <w:noProof/>
                <w:lang w:val="ro-RO"/>
              </w:rPr>
              <w:t>”</w:t>
            </w:r>
            <w:r w:rsidRPr="0023633A">
              <w:rPr>
                <w:noProof/>
                <w:lang w:val="ro-RO"/>
              </w:rPr>
              <w:t>),</w:t>
            </w:r>
          </w:p>
        </w:tc>
      </w:tr>
      <w:tr w:rsidR="006C199B" w:rsidRPr="0023633A" w14:paraId="08378816" w14:textId="77777777" w:rsidTr="00FC46B1">
        <w:tc>
          <w:tcPr>
            <w:tcW w:w="5000" w:type="pct"/>
          </w:tcPr>
          <w:p w14:paraId="60CD3080" w14:textId="77777777" w:rsidR="002501D1" w:rsidRPr="0023633A" w:rsidRDefault="002501D1" w:rsidP="005B79A7">
            <w:pPr>
              <w:pStyle w:val="AODocTxt"/>
              <w:spacing w:line="240" w:lineRule="auto"/>
              <w:rPr>
                <w:noProof/>
                <w:lang w:val="ro-RO"/>
              </w:rPr>
            </w:pPr>
            <w:r w:rsidRPr="0023633A">
              <w:rPr>
                <w:i/>
                <w:noProof/>
                <w:color w:val="808080"/>
                <w:lang w:val="ro-RO"/>
              </w:rPr>
              <w:t xml:space="preserve">(Note: the blanks below regarding the </w:t>
            </w:r>
            <w:r w:rsidR="003A563B" w:rsidRPr="0023633A">
              <w:rPr>
                <w:i/>
                <w:noProof/>
                <w:color w:val="808080"/>
                <w:lang w:val="ro-RO"/>
              </w:rPr>
              <w:t>representative</w:t>
            </w:r>
            <w:r w:rsidRPr="0023633A">
              <w:rPr>
                <w:i/>
                <w:noProof/>
                <w:color w:val="808080"/>
                <w:lang w:val="ro-RO"/>
              </w:rPr>
              <w:t xml:space="preserve"> shall be filled in only to the extent that the ballot by correspondence is exercised by the </w:t>
            </w:r>
            <w:r w:rsidR="003A563B" w:rsidRPr="0023633A">
              <w:rPr>
                <w:i/>
                <w:noProof/>
                <w:color w:val="808080"/>
                <w:lang w:val="ro-RO"/>
              </w:rPr>
              <w:t>representative</w:t>
            </w:r>
            <w:r w:rsidRPr="0023633A">
              <w:rPr>
                <w:i/>
                <w:noProof/>
                <w:color w:val="808080"/>
                <w:lang w:val="ro-RO"/>
              </w:rPr>
              <w:t>)</w:t>
            </w:r>
          </w:p>
          <w:p w14:paraId="3ACA915E" w14:textId="77777777" w:rsidR="006C199B" w:rsidRPr="0023633A" w:rsidRDefault="003A563B" w:rsidP="005B79A7">
            <w:pPr>
              <w:pStyle w:val="AODocTxt"/>
              <w:spacing w:line="240" w:lineRule="auto"/>
              <w:rPr>
                <w:noProof/>
                <w:lang w:val="ro-RO"/>
              </w:rPr>
            </w:pPr>
            <w:r w:rsidRPr="0023633A">
              <w:rPr>
                <w:noProof/>
                <w:lang w:val="ro-RO"/>
              </w:rPr>
              <w:t>by representative</w:t>
            </w:r>
            <w:r w:rsidR="006C199B" w:rsidRPr="0023633A">
              <w:rPr>
                <w:noProof/>
                <w:lang w:val="ro-RO"/>
              </w:rPr>
              <w:t>,</w:t>
            </w:r>
          </w:p>
        </w:tc>
      </w:tr>
      <w:tr w:rsidR="006C199B" w:rsidRPr="0023633A" w14:paraId="1A448BF9" w14:textId="77777777" w:rsidTr="00FC46B1">
        <w:tc>
          <w:tcPr>
            <w:tcW w:w="5000" w:type="pct"/>
          </w:tcPr>
          <w:p w14:paraId="556C6BAA" w14:textId="77777777" w:rsidR="006C199B" w:rsidRPr="0023633A" w:rsidRDefault="006C199B" w:rsidP="005B79A7">
            <w:pPr>
              <w:pStyle w:val="AODocTxt"/>
              <w:spacing w:line="240" w:lineRule="auto"/>
              <w:rPr>
                <w:noProof/>
                <w:lang w:val="ro-RO"/>
              </w:rPr>
            </w:pPr>
            <w:r w:rsidRPr="0023633A">
              <w:rPr>
                <w:noProof/>
                <w:lang w:val="ro-RO"/>
              </w:rPr>
              <w:t>___________________________________________, born at ____________________, on _______________________________</w:t>
            </w:r>
            <w:r w:rsidR="002501D1" w:rsidRPr="0023633A">
              <w:rPr>
                <w:noProof/>
                <w:lang w:val="ro-RO"/>
              </w:rPr>
              <w:t>_____, domiciled at ______</w:t>
            </w:r>
            <w:r w:rsidRPr="0023633A">
              <w:rPr>
                <w:noProof/>
                <w:lang w:val="ro-RO"/>
              </w:rPr>
              <w:t>______________________________</w:t>
            </w:r>
          </w:p>
          <w:p w14:paraId="3B6B3106" w14:textId="77777777" w:rsidR="006C199B" w:rsidRPr="0023633A" w:rsidRDefault="006C199B" w:rsidP="005B79A7">
            <w:pPr>
              <w:pStyle w:val="AODocTxt"/>
              <w:spacing w:line="240" w:lineRule="auto"/>
              <w:rPr>
                <w:noProof/>
                <w:lang w:val="ro-RO"/>
              </w:rPr>
            </w:pPr>
            <w:r w:rsidRPr="0023633A">
              <w:rPr>
                <w:noProof/>
                <w:lang w:val="ro-RO"/>
              </w:rPr>
              <w:t xml:space="preserve">_________________________________________, identified </w:t>
            </w:r>
            <w:r w:rsidR="002501D1" w:rsidRPr="0023633A">
              <w:rPr>
                <w:noProof/>
                <w:lang w:val="ro-RO"/>
              </w:rPr>
              <w:t xml:space="preserve">with </w:t>
            </w:r>
            <w:r w:rsidRPr="0023633A">
              <w:rPr>
                <w:noProof/>
                <w:lang w:val="ro-RO"/>
              </w:rPr>
              <w:t>identity card/passport series ____</w:t>
            </w:r>
            <w:r w:rsidR="003A563B" w:rsidRPr="0023633A">
              <w:rPr>
                <w:noProof/>
                <w:lang w:val="ro-RO"/>
              </w:rPr>
              <w:t>____________, no. ________</w:t>
            </w:r>
            <w:r w:rsidRPr="0023633A">
              <w:rPr>
                <w:noProof/>
                <w:lang w:val="ro-RO"/>
              </w:rPr>
              <w:t>__, issued by ______________</w:t>
            </w:r>
            <w:r w:rsidR="003A563B" w:rsidRPr="0023633A">
              <w:rPr>
                <w:noProof/>
                <w:lang w:val="ro-RO"/>
              </w:rPr>
              <w:t>_____________________________</w:t>
            </w:r>
            <w:r w:rsidRPr="0023633A">
              <w:rPr>
                <w:noProof/>
                <w:lang w:val="ro-RO"/>
              </w:rPr>
              <w:t xml:space="preserve">_, on _____________________, personal </w:t>
            </w:r>
            <w:r w:rsidR="00190653" w:rsidRPr="0023633A">
              <w:rPr>
                <w:noProof/>
                <w:lang w:val="ro-RO"/>
              </w:rPr>
              <w:t xml:space="preserve">identification </w:t>
            </w:r>
            <w:r w:rsidRPr="0023633A">
              <w:rPr>
                <w:noProof/>
                <w:lang w:val="ro-RO"/>
              </w:rPr>
              <w:t>number _________________________________________, according to the Special/General Power of Attorney no</w:t>
            </w:r>
            <w:r w:rsidR="002501D1" w:rsidRPr="0023633A">
              <w:rPr>
                <w:noProof/>
                <w:lang w:val="ro-RO"/>
              </w:rPr>
              <w:t xml:space="preserve">. </w:t>
            </w:r>
            <w:r w:rsidRPr="0023633A">
              <w:rPr>
                <w:noProof/>
                <w:lang w:val="ro-RO"/>
              </w:rPr>
              <w:t>____</w:t>
            </w:r>
            <w:r w:rsidR="002501D1" w:rsidRPr="0023633A">
              <w:rPr>
                <w:noProof/>
                <w:lang w:val="ro-RO"/>
              </w:rPr>
              <w:t xml:space="preserve"> of ___________________ </w:t>
            </w:r>
            <w:r w:rsidRPr="0023633A">
              <w:rPr>
                <w:noProof/>
                <w:lang w:val="ro-RO"/>
              </w:rPr>
              <w:t>(</w:t>
            </w:r>
            <w:r w:rsidRPr="0023633A">
              <w:rPr>
                <w:b/>
                <w:bCs/>
                <w:noProof/>
                <w:lang w:val="ro-RO"/>
              </w:rPr>
              <w:t>the</w:t>
            </w:r>
            <w:r w:rsidRPr="0023633A">
              <w:rPr>
                <w:b/>
                <w:noProof/>
                <w:lang w:val="ro-RO"/>
              </w:rPr>
              <w:t xml:space="preserve"> </w:t>
            </w:r>
            <w:r w:rsidR="00190653" w:rsidRPr="0023633A">
              <w:rPr>
                <w:b/>
                <w:noProof/>
                <w:lang w:val="ro-RO"/>
              </w:rPr>
              <w:t>“</w:t>
            </w:r>
            <w:r w:rsidRPr="0023633A">
              <w:rPr>
                <w:b/>
                <w:noProof/>
                <w:lang w:val="ro-RO"/>
              </w:rPr>
              <w:t>Representative</w:t>
            </w:r>
            <w:r w:rsidR="00190653" w:rsidRPr="0023633A">
              <w:rPr>
                <w:b/>
                <w:noProof/>
                <w:lang w:val="ro-RO"/>
              </w:rPr>
              <w:t>”</w:t>
            </w:r>
            <w:r w:rsidRPr="0023633A">
              <w:rPr>
                <w:noProof/>
                <w:lang w:val="ro-RO"/>
              </w:rPr>
              <w:t>),</w:t>
            </w:r>
          </w:p>
        </w:tc>
      </w:tr>
      <w:tr w:rsidR="006C199B" w:rsidRPr="0023633A" w14:paraId="59A52C54" w14:textId="77777777" w:rsidTr="00FC46B1">
        <w:tc>
          <w:tcPr>
            <w:tcW w:w="5000" w:type="pct"/>
          </w:tcPr>
          <w:p w14:paraId="52BA8C4C" w14:textId="77777777" w:rsidR="006C199B" w:rsidRPr="0023633A" w:rsidRDefault="006C199B" w:rsidP="005B79A7">
            <w:pPr>
              <w:pStyle w:val="AODocTxt"/>
              <w:spacing w:line="240" w:lineRule="auto"/>
              <w:rPr>
                <w:b/>
                <w:noProof/>
                <w:lang w:val="ro-RO"/>
              </w:rPr>
            </w:pPr>
            <w:r w:rsidRPr="0023633A">
              <w:rPr>
                <w:b/>
                <w:noProof/>
                <w:lang w:val="ro-RO"/>
              </w:rPr>
              <w:t>OR</w:t>
            </w:r>
          </w:p>
        </w:tc>
      </w:tr>
      <w:tr w:rsidR="006C199B" w:rsidRPr="0023633A" w14:paraId="655CAB9D" w14:textId="77777777" w:rsidTr="00FC46B1">
        <w:tc>
          <w:tcPr>
            <w:tcW w:w="5000" w:type="pct"/>
          </w:tcPr>
          <w:p w14:paraId="30A281DC" w14:textId="77777777" w:rsidR="006C199B" w:rsidRPr="0023633A" w:rsidRDefault="006C199B" w:rsidP="005B79A7">
            <w:pPr>
              <w:pStyle w:val="AODocTxt"/>
              <w:spacing w:line="240" w:lineRule="auto"/>
              <w:rPr>
                <w:noProof/>
                <w:lang w:val="ro-RO"/>
              </w:rPr>
            </w:pPr>
            <w:r w:rsidRPr="0023633A">
              <w:rPr>
                <w:noProof/>
                <w:lang w:val="ro-RO"/>
              </w:rPr>
              <w:t xml:space="preserve">_________________________________________, a company duly </w:t>
            </w:r>
            <w:r w:rsidR="003A563B" w:rsidRPr="0023633A">
              <w:rPr>
                <w:noProof/>
                <w:lang w:val="ro-RO"/>
              </w:rPr>
              <w:t>incorporated and operating</w:t>
            </w:r>
            <w:r w:rsidRPr="0023633A">
              <w:rPr>
                <w:noProof/>
                <w:lang w:val="ro-RO"/>
              </w:rPr>
              <w:t xml:space="preserve"> under the laws of ___________________________, having its registered office in _______________________________________________, registered with the </w:t>
            </w:r>
            <w:r w:rsidR="002501D1" w:rsidRPr="0023633A">
              <w:rPr>
                <w:noProof/>
                <w:lang w:val="ro-RO"/>
              </w:rPr>
              <w:t>Trade</w:t>
            </w:r>
            <w:r w:rsidRPr="0023633A">
              <w:rPr>
                <w:noProof/>
                <w:lang w:val="ro-RO"/>
              </w:rPr>
              <w:t xml:space="preserve"> Registry/equivalent body for non-resident legal person</w:t>
            </w:r>
            <w:r w:rsidR="002501D1" w:rsidRPr="0023633A">
              <w:rPr>
                <w:noProof/>
                <w:lang w:val="ro-RO"/>
              </w:rPr>
              <w:t>s</w:t>
            </w:r>
            <w:r w:rsidRPr="0023633A">
              <w:rPr>
                <w:noProof/>
                <w:lang w:val="ro-RO"/>
              </w:rPr>
              <w:t xml:space="preserve"> under no. ______________________________________, having its </w:t>
            </w:r>
            <w:r w:rsidR="003A563B" w:rsidRPr="0023633A">
              <w:rPr>
                <w:noProof/>
                <w:lang w:val="ro-RO"/>
              </w:rPr>
              <w:t>fiscal</w:t>
            </w:r>
            <w:r w:rsidRPr="0023633A">
              <w:rPr>
                <w:noProof/>
                <w:lang w:val="ro-RO"/>
              </w:rPr>
              <w:t xml:space="preserve"> identification code (CUI) / equivalent registration number for non-resident legal person</w:t>
            </w:r>
            <w:r w:rsidR="002501D1" w:rsidRPr="0023633A">
              <w:rPr>
                <w:noProof/>
                <w:lang w:val="ro-RO"/>
              </w:rPr>
              <w:t>s</w:t>
            </w:r>
            <w:r w:rsidRPr="0023633A">
              <w:rPr>
                <w:noProof/>
                <w:lang w:val="ro-RO"/>
              </w:rPr>
              <w:t xml:space="preserve"> _____________________________, legally represented by____________ according to the Special/General Power of Attorney no</w:t>
            </w:r>
            <w:r w:rsidR="002501D1" w:rsidRPr="0023633A">
              <w:rPr>
                <w:noProof/>
                <w:lang w:val="ro-RO"/>
              </w:rPr>
              <w:t xml:space="preserve">. </w:t>
            </w:r>
            <w:r w:rsidRPr="0023633A">
              <w:rPr>
                <w:noProof/>
                <w:lang w:val="ro-RO"/>
              </w:rPr>
              <w:t>____</w:t>
            </w:r>
            <w:r w:rsidR="002501D1" w:rsidRPr="0023633A">
              <w:rPr>
                <w:noProof/>
                <w:lang w:val="ro-RO"/>
              </w:rPr>
              <w:t xml:space="preserve"> of _________________ (the</w:t>
            </w:r>
            <w:r w:rsidR="002501D1" w:rsidRPr="0023633A">
              <w:rPr>
                <w:b/>
                <w:noProof/>
                <w:lang w:val="ro-RO"/>
              </w:rPr>
              <w:t xml:space="preserve"> </w:t>
            </w:r>
            <w:r w:rsidR="00190653" w:rsidRPr="0023633A">
              <w:rPr>
                <w:b/>
                <w:noProof/>
                <w:lang w:val="ro-RO"/>
              </w:rPr>
              <w:t>“</w:t>
            </w:r>
            <w:r w:rsidR="002501D1" w:rsidRPr="0023633A">
              <w:rPr>
                <w:b/>
                <w:noProof/>
                <w:lang w:val="ro-RO"/>
              </w:rPr>
              <w:t>Representative</w:t>
            </w:r>
            <w:r w:rsidR="00190653" w:rsidRPr="0023633A">
              <w:rPr>
                <w:b/>
                <w:noProof/>
                <w:lang w:val="ro-RO"/>
              </w:rPr>
              <w:t>”</w:t>
            </w:r>
            <w:r w:rsidR="002501D1" w:rsidRPr="0023633A">
              <w:rPr>
                <w:noProof/>
                <w:lang w:val="ro-RO"/>
              </w:rPr>
              <w:t>)</w:t>
            </w:r>
            <w:r w:rsidRPr="0023633A">
              <w:rPr>
                <w:noProof/>
                <w:lang w:val="ro-RO"/>
              </w:rPr>
              <w:t>,</w:t>
            </w:r>
          </w:p>
        </w:tc>
      </w:tr>
      <w:tr w:rsidR="0052095F" w:rsidRPr="0023633A" w14:paraId="738F5B92" w14:textId="77777777" w:rsidTr="00FC46B1">
        <w:tc>
          <w:tcPr>
            <w:tcW w:w="5000" w:type="pct"/>
          </w:tcPr>
          <w:p w14:paraId="2F3085F2" w14:textId="69713163" w:rsidR="0052095F" w:rsidRPr="0023633A" w:rsidRDefault="0052095F" w:rsidP="0052095F">
            <w:pPr>
              <w:pStyle w:val="AODocTxt"/>
              <w:numPr>
                <w:ilvl w:val="0"/>
                <w:numId w:val="0"/>
              </w:numPr>
              <w:spacing w:line="240" w:lineRule="auto"/>
              <w:rPr>
                <w:noProof/>
                <w:lang w:val="ro-RO"/>
              </w:rPr>
            </w:pPr>
            <w:r w:rsidRPr="0023633A">
              <w:rPr>
                <w:i/>
              </w:rPr>
              <w:t xml:space="preserve">whereas </w:t>
            </w:r>
            <w:r w:rsidRPr="0023633A">
              <w:t xml:space="preserve">the calling of the </w:t>
            </w:r>
            <w:r w:rsidR="00C50D7D" w:rsidRPr="0023633A">
              <w:t xml:space="preserve">extraordinary </w:t>
            </w:r>
            <w:r w:rsidRPr="0023633A">
              <w:t xml:space="preserve">general shareholders meeting of </w:t>
            </w:r>
            <w:r w:rsidRPr="0023633A">
              <w:rPr>
                <w:b/>
              </w:rPr>
              <w:t>Sphera Franchise Group S.A.</w:t>
            </w:r>
            <w:r w:rsidRPr="0023633A">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Pr="0023633A">
              <w:rPr>
                <w:b/>
              </w:rPr>
              <w:t>Sphera</w:t>
            </w:r>
            <w:r w:rsidRPr="0023633A">
              <w:t>" or the “</w:t>
            </w:r>
            <w:r w:rsidRPr="0023633A">
              <w:rPr>
                <w:b/>
                <w:bCs/>
              </w:rPr>
              <w:t>Company</w:t>
            </w:r>
            <w:r w:rsidRPr="0023633A">
              <w:t xml:space="preserve">”), to be held upon the first calling on </w:t>
            </w:r>
            <w:r w:rsidRPr="0023633A">
              <w:rPr>
                <w:b/>
                <w:bCs/>
              </w:rPr>
              <w:t>April 26</w:t>
            </w:r>
            <w:r w:rsidRPr="0023633A">
              <w:rPr>
                <w:b/>
                <w:bCs/>
                <w:vertAlign w:val="superscript"/>
              </w:rPr>
              <w:t>th</w:t>
            </w:r>
            <w:r w:rsidRPr="0023633A">
              <w:rPr>
                <w:b/>
                <w:bCs/>
              </w:rPr>
              <w:t>, 2024</w:t>
            </w:r>
            <w:r w:rsidRPr="0023633A">
              <w:t xml:space="preserve">, </w:t>
            </w:r>
            <w:r w:rsidRPr="0023633A">
              <w:rPr>
                <w:b/>
                <w:bCs/>
                <w:lang w:val="ro-RO"/>
              </w:rPr>
              <w:t>1</w:t>
            </w:r>
            <w:r w:rsidR="00C50D7D" w:rsidRPr="0023633A">
              <w:rPr>
                <w:b/>
                <w:bCs/>
                <w:lang w:val="ro-RO"/>
              </w:rPr>
              <w:t>3</w:t>
            </w:r>
            <w:r w:rsidRPr="0023633A">
              <w:rPr>
                <w:b/>
                <w:bCs/>
                <w:lang w:val="ro-RO"/>
              </w:rPr>
              <w:t>:00 hrs</w:t>
            </w:r>
            <w:r w:rsidRPr="0023633A">
              <w:rPr>
                <w:lang w:val="ro-RO"/>
              </w:rPr>
              <w:t>.</w:t>
            </w:r>
            <w:r w:rsidRPr="0023633A">
              <w:t xml:space="preserve"> </w:t>
            </w:r>
            <w:r w:rsidRPr="0023633A">
              <w:br/>
              <w:t>(Romanian time), at Company's headquarters located in Romania, Bucharest, 239 Dorobanti Ave., 2</w:t>
            </w:r>
            <w:r w:rsidRPr="0023633A">
              <w:rPr>
                <w:vertAlign w:val="superscript"/>
              </w:rPr>
              <w:t>nd</w:t>
            </w:r>
            <w:r w:rsidRPr="0023633A">
              <w:t xml:space="preserve"> floor - Ateneu Room, 1</w:t>
            </w:r>
            <w:r w:rsidRPr="0023633A">
              <w:rPr>
                <w:vertAlign w:val="superscript"/>
              </w:rPr>
              <w:t>st</w:t>
            </w:r>
            <w:r w:rsidRPr="0023633A">
              <w:t xml:space="preserve"> District or, if the case, upon second calling, if the meeting cannot be held upon its first calling, on </w:t>
            </w:r>
            <w:r w:rsidRPr="0023633A">
              <w:rPr>
                <w:b/>
                <w:bCs/>
              </w:rPr>
              <w:t>April 29</w:t>
            </w:r>
            <w:r w:rsidRPr="0023633A">
              <w:rPr>
                <w:b/>
                <w:bCs/>
                <w:vertAlign w:val="superscript"/>
              </w:rPr>
              <w:t>th</w:t>
            </w:r>
            <w:r w:rsidRPr="0023633A">
              <w:rPr>
                <w:b/>
                <w:bCs/>
              </w:rPr>
              <w:t>, 2024</w:t>
            </w:r>
            <w:r w:rsidRPr="0023633A">
              <w:t xml:space="preserve">, </w:t>
            </w:r>
            <w:r w:rsidRPr="0023633A">
              <w:rPr>
                <w:b/>
                <w:bCs/>
              </w:rPr>
              <w:t>1</w:t>
            </w:r>
            <w:r w:rsidR="00C50D7D" w:rsidRPr="0023633A">
              <w:rPr>
                <w:b/>
                <w:bCs/>
              </w:rPr>
              <w:t>3</w:t>
            </w:r>
            <w:r w:rsidRPr="0023633A">
              <w:rPr>
                <w:b/>
                <w:bCs/>
              </w:rPr>
              <w:t>:00</w:t>
            </w:r>
            <w:r w:rsidRPr="0023633A">
              <w:rPr>
                <w:b/>
                <w:bCs/>
                <w:lang w:val="ro-RO"/>
              </w:rPr>
              <w:t xml:space="preserve"> hrs.</w:t>
            </w:r>
            <w:r w:rsidRPr="0023633A">
              <w:rPr>
                <w:lang w:val="ro-RO"/>
              </w:rPr>
              <w:t xml:space="preserve"> </w:t>
            </w:r>
            <w:r w:rsidRPr="0023633A">
              <w:t>(Romanian time), at Company's headquarters located in Romania, Bucharest, 239 Dorobanti Ave., 2</w:t>
            </w:r>
            <w:r w:rsidRPr="0023633A">
              <w:rPr>
                <w:vertAlign w:val="superscript"/>
              </w:rPr>
              <w:t>nd</w:t>
            </w:r>
            <w:r w:rsidRPr="0023633A">
              <w:t xml:space="preserve"> floor - Ateneu Room, 1</w:t>
            </w:r>
            <w:r w:rsidRPr="0023633A">
              <w:rPr>
                <w:vertAlign w:val="superscript"/>
              </w:rPr>
              <w:t>st</w:t>
            </w:r>
            <w:r w:rsidRPr="0023633A">
              <w:t xml:space="preserve"> District (the </w:t>
            </w:r>
            <w:r w:rsidRPr="0023633A">
              <w:rPr>
                <w:b/>
                <w:bCs/>
              </w:rPr>
              <w:t>“</w:t>
            </w:r>
            <w:r w:rsidR="00275705">
              <w:rPr>
                <w:b/>
              </w:rPr>
              <w:t>E</w:t>
            </w:r>
            <w:r w:rsidRPr="0023633A">
              <w:rPr>
                <w:b/>
              </w:rPr>
              <w:t>GSM”</w:t>
            </w:r>
            <w:r w:rsidRPr="0023633A">
              <w:t>),</w:t>
            </w:r>
          </w:p>
        </w:tc>
      </w:tr>
      <w:tr w:rsidR="0052095F" w:rsidRPr="0023633A" w14:paraId="16CC1B8D" w14:textId="77777777" w:rsidTr="00FC46B1">
        <w:tc>
          <w:tcPr>
            <w:tcW w:w="5000" w:type="pct"/>
          </w:tcPr>
          <w:p w14:paraId="5DB8D4E4" w14:textId="78C7FCB3" w:rsidR="0052095F" w:rsidRPr="0023633A" w:rsidRDefault="0052095F" w:rsidP="0052095F">
            <w:pPr>
              <w:pStyle w:val="AODocTxt"/>
              <w:spacing w:line="240" w:lineRule="auto"/>
              <w:rPr>
                <w:noProof/>
                <w:lang w:val="ro-RO"/>
              </w:rPr>
            </w:pPr>
            <w:r w:rsidRPr="0023633A">
              <w:rPr>
                <w:i/>
              </w:rPr>
              <w:lastRenderedPageBreak/>
              <w:t xml:space="preserve">whereas </w:t>
            </w:r>
            <w:r w:rsidRPr="0023633A">
              <w:t xml:space="preserve">the Undersigned is a shareholder of Sphera, holding, as of </w:t>
            </w:r>
            <w:r w:rsidRPr="0023633A">
              <w:rPr>
                <w:b/>
                <w:bCs/>
              </w:rPr>
              <w:t>April 17</w:t>
            </w:r>
            <w:r w:rsidRPr="0023633A">
              <w:rPr>
                <w:b/>
                <w:bCs/>
                <w:vertAlign w:val="superscript"/>
              </w:rPr>
              <w:t>th</w:t>
            </w:r>
            <w:r w:rsidRPr="0023633A">
              <w:rPr>
                <w:b/>
                <w:bCs/>
              </w:rPr>
              <w:t>, 2024</w:t>
            </w:r>
            <w:r w:rsidRPr="0023633A">
              <w:t xml:space="preserve">  (</w:t>
            </w:r>
            <w:r w:rsidRPr="0023633A">
              <w:rPr>
                <w:i/>
              </w:rPr>
              <w:t>the Reference Date</w:t>
            </w:r>
            <w:r w:rsidRPr="0023633A">
              <w:t xml:space="preserve">) a number of ___________________ shares issued by Sphera, granting the Undersigned a number of __________________ votes within the </w:t>
            </w:r>
            <w:r w:rsidR="00C50D7D" w:rsidRPr="0023633A">
              <w:t>E</w:t>
            </w:r>
            <w:r w:rsidRPr="0023633A">
              <w:t>GSM, representing a holding of __________% out of the total number of shares issued by Sphera and a holding of ________% of the total number of voting rights (voting rights shares),</w:t>
            </w:r>
          </w:p>
        </w:tc>
      </w:tr>
      <w:tr w:rsidR="006C199B" w:rsidRPr="0023633A" w14:paraId="3A52D695" w14:textId="77777777" w:rsidTr="00FC46B1">
        <w:tc>
          <w:tcPr>
            <w:tcW w:w="5000" w:type="pct"/>
          </w:tcPr>
          <w:p w14:paraId="2F49B934" w14:textId="5F21357E" w:rsidR="006C199B" w:rsidRPr="0023633A" w:rsidRDefault="00036FCE" w:rsidP="005B79A7">
            <w:pPr>
              <w:pStyle w:val="AODocTxt"/>
              <w:spacing w:line="240" w:lineRule="auto"/>
              <w:rPr>
                <w:noProof/>
                <w:lang w:val="ro-RO"/>
              </w:rPr>
            </w:pPr>
            <w:r w:rsidRPr="0023633A">
              <w:rPr>
                <w:i/>
                <w:noProof/>
                <w:lang w:val="ro-RO"/>
              </w:rPr>
              <w:t xml:space="preserve">whereas </w:t>
            </w:r>
            <w:r w:rsidR="006C199B" w:rsidRPr="0023633A">
              <w:rPr>
                <w:noProof/>
                <w:lang w:val="ro-RO"/>
              </w:rPr>
              <w:t>I have ac</w:t>
            </w:r>
            <w:r w:rsidRPr="0023633A">
              <w:rPr>
                <w:noProof/>
                <w:lang w:val="ro-RO"/>
              </w:rPr>
              <w:t xml:space="preserve">knowledged the agenda of the </w:t>
            </w:r>
            <w:r w:rsidR="00C50D7D" w:rsidRPr="0023633A">
              <w:rPr>
                <w:noProof/>
                <w:lang w:val="ro-RO"/>
              </w:rPr>
              <w:t>E</w:t>
            </w:r>
            <w:r w:rsidRPr="0023633A">
              <w:rPr>
                <w:noProof/>
                <w:lang w:val="ro-RO"/>
              </w:rPr>
              <w:t>G</w:t>
            </w:r>
            <w:r w:rsidR="006C199B" w:rsidRPr="0023633A">
              <w:rPr>
                <w:noProof/>
                <w:lang w:val="ro-RO"/>
              </w:rPr>
              <w:t>S</w:t>
            </w:r>
            <w:r w:rsidRPr="0023633A">
              <w:rPr>
                <w:noProof/>
                <w:lang w:val="ro-RO"/>
              </w:rPr>
              <w:t>M</w:t>
            </w:r>
            <w:r w:rsidR="006C199B" w:rsidRPr="0023633A">
              <w:rPr>
                <w:noProof/>
                <w:lang w:val="ro-RO"/>
              </w:rPr>
              <w:t xml:space="preserve"> and the documentation and the informative materials related to the </w:t>
            </w:r>
            <w:r w:rsidRPr="0023633A">
              <w:rPr>
                <w:noProof/>
                <w:lang w:val="ro-RO"/>
              </w:rPr>
              <w:t xml:space="preserve">respective </w:t>
            </w:r>
            <w:r w:rsidR="006C199B" w:rsidRPr="0023633A">
              <w:rPr>
                <w:noProof/>
                <w:lang w:val="ro-RO"/>
              </w:rPr>
              <w:t xml:space="preserve">agenda, </w:t>
            </w:r>
          </w:p>
        </w:tc>
      </w:tr>
      <w:tr w:rsidR="00FD03E0" w:rsidRPr="0023633A" w14:paraId="21437849" w14:textId="77777777" w:rsidTr="00FC46B1">
        <w:tc>
          <w:tcPr>
            <w:tcW w:w="5000" w:type="pct"/>
          </w:tcPr>
          <w:p w14:paraId="41399CEC" w14:textId="2B9978BC" w:rsidR="00940D69" w:rsidRPr="0023633A" w:rsidRDefault="00940D69" w:rsidP="00940D69">
            <w:pPr>
              <w:pStyle w:val="AODocTxt"/>
              <w:numPr>
                <w:ilvl w:val="0"/>
                <w:numId w:val="0"/>
              </w:numPr>
              <w:spacing w:line="240" w:lineRule="auto"/>
              <w:rPr>
                <w:b/>
              </w:rPr>
            </w:pPr>
            <w:r w:rsidRPr="0023633A">
              <w:rPr>
                <w:b/>
              </w:rPr>
              <w:t xml:space="preserve">by this ballot by correspondence, I hereby understand to cast my vote for the </w:t>
            </w:r>
            <w:r w:rsidR="00C50D7D" w:rsidRPr="0023633A">
              <w:rPr>
                <w:b/>
              </w:rPr>
              <w:t>E</w:t>
            </w:r>
            <w:r w:rsidRPr="0023633A">
              <w:rPr>
                <w:b/>
              </w:rPr>
              <w:t>GSM, as follows:</w:t>
            </w:r>
          </w:p>
          <w:p w14:paraId="5A45E153" w14:textId="6B140B0B" w:rsidR="00940D69" w:rsidRPr="0023633A" w:rsidRDefault="00C50D7D" w:rsidP="00940D69">
            <w:pPr>
              <w:pStyle w:val="AODocTxt"/>
              <w:numPr>
                <w:ilvl w:val="0"/>
                <w:numId w:val="0"/>
              </w:numPr>
              <w:spacing w:line="240" w:lineRule="auto"/>
              <w:rPr>
                <w:b/>
                <w:bCs/>
              </w:rPr>
            </w:pPr>
            <w:r w:rsidRPr="0023633A">
              <w:rPr>
                <w:b/>
                <w:bCs/>
              </w:rPr>
              <w:t>E</w:t>
            </w:r>
            <w:r w:rsidR="00940D69" w:rsidRPr="0023633A">
              <w:rPr>
                <w:b/>
                <w:bCs/>
              </w:rPr>
              <w:t>GSM Agenda items</w:t>
            </w:r>
          </w:p>
          <w:p w14:paraId="35329178" w14:textId="77777777" w:rsidR="003B45B1" w:rsidRPr="0023633A" w:rsidRDefault="003B45B1" w:rsidP="003B45B1">
            <w:pPr>
              <w:pStyle w:val="AODocTxt"/>
              <w:rPr>
                <w:b/>
                <w:bCs/>
                <w:noProof/>
                <w:lang w:val="ro-RO"/>
              </w:rPr>
            </w:pPr>
            <w:r w:rsidRPr="0023633A">
              <w:rPr>
                <w:b/>
                <w:bCs/>
              </w:rPr>
              <w:t xml:space="preserve">1. </w:t>
            </w:r>
            <w:r w:rsidRPr="0023633A">
              <w:rPr>
                <w:b/>
                <w:bCs/>
                <w:noProof/>
                <w:lang w:val="ro-RO"/>
              </w:rPr>
              <w:t>Item no. 1</w:t>
            </w:r>
          </w:p>
          <w:p w14:paraId="70038607" w14:textId="77777777" w:rsidR="003B45B1" w:rsidRPr="0023633A" w:rsidRDefault="003B45B1" w:rsidP="003B45B1">
            <w:pPr>
              <w:jc w:val="both"/>
              <w:rPr>
                <w:snapToGrid w:val="0"/>
                <w:szCs w:val="22"/>
              </w:rPr>
            </w:pPr>
            <w:r w:rsidRPr="0023633A">
              <w:rPr>
                <w:b/>
                <w:bCs/>
                <w:snapToGrid w:val="0"/>
                <w:szCs w:val="22"/>
              </w:rPr>
              <w:t>Contracting</w:t>
            </w:r>
            <w:r w:rsidRPr="0023633A">
              <w:rPr>
                <w:snapToGrid w:val="0"/>
                <w:szCs w:val="22"/>
              </w:rPr>
              <w:t xml:space="preserve"> by the Company, as borrower and/or debtor, as the case may be, together with US Food Network S.A (borrower and/or debtor, as the case may be), of an internal  uncommitted credit facility, in the maximum amount of </w:t>
            </w:r>
            <w:r w:rsidRPr="0023633A">
              <w:rPr>
                <w:b/>
                <w:bCs/>
                <w:snapToGrid w:val="0"/>
                <w:szCs w:val="22"/>
              </w:rPr>
              <w:t>EUR 3,500,000 (three-million-five-hundred-thousand-Euro) (the "Facility")</w:t>
            </w:r>
            <w:r w:rsidRPr="0023633A">
              <w:rPr>
                <w:snapToGrid w:val="0"/>
                <w:szCs w:val="22"/>
              </w:rPr>
              <w:t>, to be granted by CITIBANK EUROPE PLC, DUBLIN - ROMANIA BRANCH, registered in Romania at the Trade Registry with number J40/21058/17.12.2008, unique registration code 24882493, fiscal registration RO24882493, registered in the Register of Credit Institutions under no. RB-PJS-40-065 of 22.12.2008, (the "Bank"), based on a Framework Contract for the Granting of Bank Credits, under which the Company may request the granting of a Credit Type, under the terms and conditions of use granted by the Bank, namely:</w:t>
            </w:r>
          </w:p>
          <w:p w14:paraId="5239A7CA" w14:textId="77777777" w:rsidR="003B45B1" w:rsidRPr="0023633A" w:rsidRDefault="003B45B1" w:rsidP="003B45B1">
            <w:pPr>
              <w:ind w:left="360"/>
              <w:jc w:val="both"/>
              <w:rPr>
                <w:i/>
                <w:iCs/>
                <w:sz w:val="20"/>
              </w:rPr>
            </w:pPr>
            <w:r w:rsidRPr="0023633A">
              <w:rPr>
                <w:i/>
                <w:iCs/>
                <w:sz w:val="20"/>
              </w:rPr>
              <w:t xml:space="preserve">a. The </w:t>
            </w:r>
            <w:r w:rsidRPr="0023633A">
              <w:rPr>
                <w:b/>
                <w:bCs/>
                <w:i/>
                <w:iCs/>
                <w:sz w:val="20"/>
              </w:rPr>
              <w:t>issuance of Bank guarantees</w:t>
            </w:r>
            <w:r w:rsidRPr="0023633A">
              <w:rPr>
                <w:i/>
                <w:iCs/>
                <w:sz w:val="20"/>
              </w:rPr>
              <w:t>, under the following terms</w:t>
            </w:r>
            <w:r w:rsidRPr="0023633A">
              <w:rPr>
                <w:i/>
                <w:iCs/>
                <w:spacing w:val="-4"/>
                <w:sz w:val="20"/>
              </w:rPr>
              <w:t>:</w:t>
            </w:r>
          </w:p>
          <w:p w14:paraId="08E6C3EE" w14:textId="77777777" w:rsidR="003B45B1" w:rsidRPr="0023633A" w:rsidRDefault="003B45B1" w:rsidP="003B45B1">
            <w:pPr>
              <w:ind w:left="360"/>
              <w:jc w:val="both"/>
              <w:rPr>
                <w:b/>
                <w:bCs/>
                <w:i/>
                <w:iCs/>
                <w:spacing w:val="-4"/>
                <w:sz w:val="20"/>
              </w:rPr>
            </w:pPr>
            <w:r w:rsidRPr="0023633A">
              <w:rPr>
                <w:i/>
                <w:iCs/>
                <w:sz w:val="20"/>
              </w:rPr>
              <w:t>(i) purpose: issuance of Bank guarantees utilized by the Borrowers,</w:t>
            </w:r>
            <w:r w:rsidRPr="0023633A">
              <w:rPr>
                <w:b/>
                <w:bCs/>
                <w:i/>
                <w:iCs/>
                <w:sz w:val="20"/>
              </w:rPr>
              <w:t xml:space="preserve"> </w:t>
            </w:r>
            <w:r w:rsidRPr="0023633A">
              <w:rPr>
                <w:i/>
                <w:iCs/>
                <w:sz w:val="20"/>
              </w:rPr>
              <w:t>including the Bank guarantees issued on behalf of other Borrower’s Group entities, for which the Borrowers assume all the herein mentioned obligations</w:t>
            </w:r>
          </w:p>
          <w:p w14:paraId="17F7493F" w14:textId="77777777" w:rsidR="003B45B1" w:rsidRPr="0023633A" w:rsidRDefault="003B45B1" w:rsidP="003B45B1">
            <w:pPr>
              <w:ind w:left="360"/>
              <w:jc w:val="both"/>
              <w:rPr>
                <w:b/>
                <w:bCs/>
                <w:i/>
                <w:iCs/>
                <w:spacing w:val="-4"/>
                <w:sz w:val="20"/>
              </w:rPr>
            </w:pPr>
            <w:r w:rsidRPr="0023633A">
              <w:rPr>
                <w:i/>
                <w:iCs/>
                <w:sz w:val="20"/>
              </w:rPr>
              <w:t xml:space="preserve">(ii) currency: </w:t>
            </w:r>
            <w:bookmarkStart w:id="3" w:name="Text26"/>
            <w:r w:rsidRPr="0023633A">
              <w:rPr>
                <w:b/>
                <w:bCs/>
                <w:i/>
                <w:iCs/>
                <w:sz w:val="20"/>
              </w:rPr>
              <w:t>RON/EUR</w:t>
            </w:r>
          </w:p>
          <w:bookmarkEnd w:id="3"/>
          <w:p w14:paraId="04C1A9D1" w14:textId="77777777" w:rsidR="003B45B1" w:rsidRPr="0023633A" w:rsidRDefault="003B45B1" w:rsidP="003B45B1">
            <w:pPr>
              <w:ind w:left="360"/>
              <w:jc w:val="both"/>
              <w:rPr>
                <w:b/>
                <w:bCs/>
                <w:i/>
                <w:iCs/>
                <w:sz w:val="20"/>
              </w:rPr>
            </w:pPr>
            <w:r w:rsidRPr="0023633A">
              <w:rPr>
                <w:i/>
                <w:iCs/>
                <w:sz w:val="20"/>
              </w:rPr>
              <w:t xml:space="preserve">(iii) maximum amount available: the equivalent of </w:t>
            </w:r>
            <w:bookmarkStart w:id="4" w:name="Text27"/>
            <w:r w:rsidRPr="0023633A">
              <w:rPr>
                <w:b/>
                <w:bCs/>
                <w:i/>
                <w:iCs/>
                <w:sz w:val="20"/>
              </w:rPr>
              <w:t>EUR 3,500,000 (</w:t>
            </w:r>
            <w:bookmarkStart w:id="5" w:name="_Hlk161925600"/>
            <w:r w:rsidRPr="0023633A">
              <w:rPr>
                <w:b/>
                <w:bCs/>
                <w:i/>
                <w:iCs/>
                <w:sz w:val="20"/>
              </w:rPr>
              <w:t>three-million-five-hundred-thousand-Euro</w:t>
            </w:r>
            <w:bookmarkEnd w:id="5"/>
            <w:r w:rsidRPr="0023633A">
              <w:rPr>
                <w:b/>
                <w:bCs/>
                <w:i/>
                <w:iCs/>
                <w:sz w:val="20"/>
              </w:rPr>
              <w:t>)</w:t>
            </w:r>
          </w:p>
          <w:bookmarkEnd w:id="4"/>
          <w:p w14:paraId="149C65AF" w14:textId="77777777" w:rsidR="003B45B1" w:rsidRPr="0023633A" w:rsidRDefault="003B45B1" w:rsidP="003B45B1">
            <w:pPr>
              <w:ind w:left="360"/>
              <w:jc w:val="both"/>
              <w:rPr>
                <w:i/>
                <w:iCs/>
                <w:sz w:val="20"/>
              </w:rPr>
            </w:pPr>
            <w:r w:rsidRPr="0023633A">
              <w:rPr>
                <w:i/>
                <w:iCs/>
                <w:sz w:val="20"/>
              </w:rPr>
              <w:t>(iv) tenor of each Drawing: maximum 12 months or maximum 12 months with automated renewal option</w:t>
            </w:r>
          </w:p>
          <w:p w14:paraId="4EF5AB3D" w14:textId="77777777" w:rsidR="003B45B1" w:rsidRPr="0023633A" w:rsidRDefault="003B45B1" w:rsidP="003B45B1">
            <w:pPr>
              <w:ind w:left="360"/>
              <w:jc w:val="both"/>
              <w:rPr>
                <w:i/>
                <w:iCs/>
                <w:sz w:val="20"/>
              </w:rPr>
            </w:pPr>
            <w:r w:rsidRPr="0023633A">
              <w:rPr>
                <w:i/>
                <w:iCs/>
                <w:sz w:val="20"/>
              </w:rPr>
              <w:t>The Bank reserves the right not to extend the issued Bank guarantees. In this case, the Bank will notify the Borrowers at least 60 days prior to the expiry date of the respective Bank guarantees.  </w:t>
            </w:r>
          </w:p>
          <w:p w14:paraId="41B713A2" w14:textId="77777777" w:rsidR="003B45B1" w:rsidRPr="0023633A" w:rsidRDefault="003B45B1" w:rsidP="003B45B1">
            <w:pPr>
              <w:tabs>
                <w:tab w:val="left" w:pos="3913"/>
              </w:tabs>
              <w:ind w:left="360"/>
              <w:jc w:val="both"/>
              <w:rPr>
                <w:i/>
                <w:iCs/>
                <w:sz w:val="20"/>
              </w:rPr>
            </w:pPr>
            <w:r w:rsidRPr="0023633A">
              <w:rPr>
                <w:i/>
                <w:iCs/>
                <w:sz w:val="20"/>
              </w:rPr>
              <w:t>(v) fees:</w:t>
            </w:r>
            <w:r w:rsidRPr="0023633A">
              <w:rPr>
                <w:i/>
                <w:iCs/>
                <w:sz w:val="20"/>
              </w:rPr>
              <w:tab/>
            </w:r>
          </w:p>
          <w:p w14:paraId="27790AD7" w14:textId="77777777" w:rsidR="003B45B1" w:rsidRPr="0023633A" w:rsidRDefault="003B45B1" w:rsidP="003B45B1">
            <w:pPr>
              <w:ind w:left="360"/>
              <w:jc w:val="both"/>
              <w:rPr>
                <w:i/>
                <w:iCs/>
                <w:sz w:val="20"/>
              </w:rPr>
            </w:pPr>
            <w:r w:rsidRPr="0023633A">
              <w:rPr>
                <w:i/>
                <w:iCs/>
                <w:sz w:val="20"/>
              </w:rPr>
              <w:t>1. Fees applicable in case of Bank guarantees securing the Borrowers and Borrower’s Group entities obligations, in Romania</w:t>
            </w:r>
          </w:p>
          <w:p w14:paraId="69A19D8A" w14:textId="77777777" w:rsidR="003B45B1" w:rsidRPr="0023633A" w:rsidRDefault="003B45B1" w:rsidP="003B45B1">
            <w:pPr>
              <w:ind w:left="360"/>
              <w:jc w:val="both"/>
              <w:rPr>
                <w:i/>
                <w:iCs/>
                <w:sz w:val="20"/>
              </w:rPr>
            </w:pPr>
            <w:r w:rsidRPr="0023633A">
              <w:rPr>
                <w:i/>
                <w:iCs/>
                <w:sz w:val="20"/>
                <w:u w:val="single"/>
              </w:rPr>
              <w:t>Issuance Fee</w:t>
            </w:r>
            <w:r w:rsidRPr="0023633A">
              <w:rPr>
                <w:i/>
                <w:iCs/>
                <w:sz w:val="20"/>
              </w:rPr>
              <w:t>: 0.6% p.a., payable in advance at the issuance of each issued Bank guarantee;</w:t>
            </w:r>
          </w:p>
          <w:p w14:paraId="7825A340" w14:textId="77777777" w:rsidR="003B45B1" w:rsidRPr="0023633A" w:rsidRDefault="003B45B1" w:rsidP="003B45B1">
            <w:pPr>
              <w:ind w:left="360"/>
              <w:jc w:val="both"/>
              <w:rPr>
                <w:i/>
                <w:iCs/>
                <w:sz w:val="20"/>
              </w:rPr>
            </w:pPr>
            <w:r w:rsidRPr="0023633A">
              <w:rPr>
                <w:i/>
                <w:iCs/>
                <w:sz w:val="20"/>
              </w:rPr>
              <w:t>2. Fees applicable in case of Bank guarantees securing the Borrowers and Borrower’s Group entities obligations, outside Romania*</w:t>
            </w:r>
          </w:p>
          <w:p w14:paraId="56F4D293" w14:textId="77777777" w:rsidR="003B45B1" w:rsidRPr="0023633A" w:rsidRDefault="003B45B1" w:rsidP="003B45B1">
            <w:pPr>
              <w:ind w:left="360"/>
              <w:jc w:val="both"/>
              <w:rPr>
                <w:i/>
                <w:iCs/>
                <w:sz w:val="20"/>
              </w:rPr>
            </w:pPr>
            <w:r w:rsidRPr="0023633A">
              <w:rPr>
                <w:i/>
                <w:iCs/>
                <w:sz w:val="20"/>
                <w:u w:val="single"/>
              </w:rPr>
              <w:t>Issuance Fee</w:t>
            </w:r>
            <w:r w:rsidRPr="0023633A">
              <w:rPr>
                <w:i/>
                <w:iCs/>
                <w:sz w:val="20"/>
              </w:rPr>
              <w:t>: USD 500 p.a., payable in advance at the issuance of each Bank guarantee;</w:t>
            </w:r>
          </w:p>
          <w:p w14:paraId="093F22DA" w14:textId="77777777" w:rsidR="003B45B1" w:rsidRPr="0023633A" w:rsidRDefault="003B45B1" w:rsidP="003B45B1">
            <w:pPr>
              <w:ind w:left="360"/>
              <w:jc w:val="both"/>
              <w:rPr>
                <w:i/>
                <w:iCs/>
                <w:sz w:val="20"/>
              </w:rPr>
            </w:pPr>
            <w:r w:rsidRPr="0023633A">
              <w:rPr>
                <w:i/>
                <w:iCs/>
                <w:sz w:val="20"/>
                <w:u w:val="single"/>
              </w:rPr>
              <w:t>Legal Review Fee</w:t>
            </w:r>
            <w:r w:rsidRPr="0023633A">
              <w:rPr>
                <w:i/>
                <w:iCs/>
                <w:sz w:val="20"/>
              </w:rPr>
              <w:t>: USD 500 per Bank guarantee, payable in advance at the issuance of each nonstandard Bank guarantee</w:t>
            </w:r>
          </w:p>
          <w:p w14:paraId="5628C9AE" w14:textId="77777777" w:rsidR="003B45B1" w:rsidRPr="0023633A" w:rsidRDefault="003B45B1" w:rsidP="003B45B1">
            <w:pPr>
              <w:ind w:left="360"/>
              <w:jc w:val="both"/>
              <w:rPr>
                <w:i/>
                <w:iCs/>
                <w:sz w:val="20"/>
                <w:highlight w:val="yellow"/>
              </w:rPr>
            </w:pPr>
            <w:r w:rsidRPr="0023633A">
              <w:rPr>
                <w:i/>
                <w:iCs/>
                <w:sz w:val="20"/>
                <w:u w:val="single"/>
              </w:rPr>
              <w:t>Notary Authentication Fee of Citi signatures</w:t>
            </w:r>
            <w:r w:rsidRPr="0023633A">
              <w:rPr>
                <w:i/>
                <w:iCs/>
                <w:sz w:val="20"/>
              </w:rPr>
              <w:t>: USD 300 per Bank guarantee, payable only in case of Bank signatures authentication request coming from the Bank guarantee beneficiary</w:t>
            </w:r>
          </w:p>
          <w:p w14:paraId="75CDF2CC" w14:textId="77777777" w:rsidR="003B45B1" w:rsidRPr="0023633A" w:rsidRDefault="003B45B1" w:rsidP="003B45B1">
            <w:pPr>
              <w:ind w:left="360"/>
              <w:jc w:val="both"/>
              <w:rPr>
                <w:i/>
                <w:iCs/>
                <w:sz w:val="20"/>
              </w:rPr>
            </w:pPr>
            <w:r w:rsidRPr="0023633A">
              <w:rPr>
                <w:i/>
                <w:iCs/>
                <w:sz w:val="20"/>
                <w:u w:val="single"/>
              </w:rPr>
              <w:t>Courier/Post Charges</w:t>
            </w:r>
            <w:r w:rsidRPr="0023633A">
              <w:rPr>
                <w:i/>
                <w:iCs/>
                <w:sz w:val="20"/>
              </w:rPr>
              <w:t>: USD 200 per Bank guarantee, payable in the case of hard copy commitments required to be send towards beneficiary via courier or post;</w:t>
            </w:r>
          </w:p>
          <w:p w14:paraId="78E86D19" w14:textId="77777777" w:rsidR="003B45B1" w:rsidRPr="0023633A" w:rsidRDefault="003B45B1" w:rsidP="003B45B1">
            <w:pPr>
              <w:ind w:left="360"/>
              <w:jc w:val="both"/>
              <w:rPr>
                <w:i/>
                <w:iCs/>
                <w:sz w:val="20"/>
              </w:rPr>
            </w:pPr>
            <w:r w:rsidRPr="0023633A">
              <w:rPr>
                <w:i/>
                <w:iCs/>
                <w:sz w:val="20"/>
              </w:rPr>
              <w:t>*Note:    these fees may be adjusted depending on each Citigroup Inc subsidiary from the country in which the Bank guarantee is issued  </w:t>
            </w:r>
          </w:p>
          <w:p w14:paraId="07AE54FE" w14:textId="77777777" w:rsidR="003B45B1" w:rsidRPr="0023633A" w:rsidRDefault="003B45B1" w:rsidP="003B45B1">
            <w:pPr>
              <w:ind w:left="360"/>
              <w:jc w:val="both"/>
              <w:rPr>
                <w:i/>
                <w:iCs/>
                <w:sz w:val="20"/>
              </w:rPr>
            </w:pPr>
            <w:r w:rsidRPr="0023633A">
              <w:rPr>
                <w:i/>
                <w:iCs/>
                <w:sz w:val="20"/>
              </w:rPr>
              <w:t>(vi) other fees:  any Bank guarantee issuance may involve payment of fees, other than the ones mentioned above and which will be further communicated by the Bank at the time of sending the issuance request</w:t>
            </w:r>
          </w:p>
          <w:p w14:paraId="45FF3FF5" w14:textId="77777777" w:rsidR="003B45B1" w:rsidRPr="0023633A" w:rsidRDefault="003B45B1" w:rsidP="003B45B1">
            <w:pPr>
              <w:ind w:left="360"/>
              <w:jc w:val="both"/>
              <w:rPr>
                <w:rFonts w:eastAsia="Aptos"/>
                <w:i/>
                <w:iCs/>
                <w:sz w:val="20"/>
              </w:rPr>
            </w:pPr>
            <w:r w:rsidRPr="0023633A">
              <w:rPr>
                <w:b/>
                <w:bCs/>
                <w:i/>
                <w:iCs/>
                <w:sz w:val="20"/>
                <w:lang w:eastAsia="ro-RO"/>
              </w:rPr>
              <w:t xml:space="preserve">b. </w:t>
            </w:r>
            <w:r w:rsidRPr="0023633A">
              <w:rPr>
                <w:rFonts w:eastAsia="Aptos"/>
                <w:i/>
                <w:iCs/>
                <w:sz w:val="20"/>
              </w:rPr>
              <w:t xml:space="preserve">The </w:t>
            </w:r>
            <w:r w:rsidRPr="0023633A">
              <w:rPr>
                <w:rFonts w:eastAsia="Aptos"/>
                <w:b/>
                <w:bCs/>
                <w:i/>
                <w:iCs/>
                <w:sz w:val="20"/>
              </w:rPr>
              <w:t>issuance of Letters of credit</w:t>
            </w:r>
            <w:r w:rsidRPr="0023633A">
              <w:rPr>
                <w:rFonts w:eastAsia="Aptos"/>
                <w:i/>
                <w:iCs/>
                <w:sz w:val="20"/>
              </w:rPr>
              <w:t>, under the following terms</w:t>
            </w:r>
            <w:r w:rsidRPr="0023633A">
              <w:rPr>
                <w:rFonts w:eastAsia="Aptos"/>
                <w:i/>
                <w:iCs/>
                <w:spacing w:val="-4"/>
                <w:sz w:val="20"/>
              </w:rPr>
              <w:t>:</w:t>
            </w:r>
          </w:p>
          <w:p w14:paraId="6C456FDF" w14:textId="77777777" w:rsidR="003B45B1" w:rsidRPr="0023633A" w:rsidRDefault="003B45B1" w:rsidP="003B45B1">
            <w:pPr>
              <w:ind w:left="360"/>
              <w:jc w:val="both"/>
              <w:rPr>
                <w:rFonts w:eastAsia="Aptos"/>
                <w:b/>
                <w:bCs/>
                <w:i/>
                <w:iCs/>
                <w:spacing w:val="-4"/>
                <w:sz w:val="20"/>
              </w:rPr>
            </w:pPr>
            <w:r w:rsidRPr="0023633A">
              <w:rPr>
                <w:rFonts w:eastAsia="Aptos"/>
                <w:i/>
                <w:iCs/>
                <w:sz w:val="20"/>
              </w:rPr>
              <w:t>(i) purpose: issuance of Letters of credit</w:t>
            </w:r>
            <w:r w:rsidRPr="0023633A">
              <w:rPr>
                <w:rFonts w:eastAsia="Aptos"/>
                <w:b/>
                <w:bCs/>
                <w:i/>
                <w:iCs/>
                <w:sz w:val="20"/>
              </w:rPr>
              <w:t xml:space="preserve"> </w:t>
            </w:r>
            <w:r w:rsidRPr="0023633A">
              <w:rPr>
                <w:rFonts w:eastAsia="Aptos"/>
                <w:i/>
                <w:iCs/>
                <w:sz w:val="20"/>
              </w:rPr>
              <w:t>utilized by the Borrowers,</w:t>
            </w:r>
            <w:r w:rsidRPr="0023633A">
              <w:rPr>
                <w:rFonts w:eastAsia="Aptos"/>
                <w:b/>
                <w:bCs/>
                <w:i/>
                <w:iCs/>
                <w:sz w:val="20"/>
              </w:rPr>
              <w:t xml:space="preserve"> </w:t>
            </w:r>
            <w:r w:rsidRPr="0023633A">
              <w:rPr>
                <w:rFonts w:eastAsia="Aptos"/>
                <w:i/>
                <w:iCs/>
                <w:sz w:val="20"/>
              </w:rPr>
              <w:t>including the Letters of credit issued on behalf of other Borrower’s Group entities, for which the Borrowers assume all the herein mentioned obligations</w:t>
            </w:r>
          </w:p>
          <w:p w14:paraId="3EE19DFF" w14:textId="77777777" w:rsidR="003B45B1" w:rsidRPr="0023633A" w:rsidRDefault="003B45B1" w:rsidP="003B45B1">
            <w:pPr>
              <w:ind w:left="360"/>
              <w:jc w:val="both"/>
              <w:rPr>
                <w:rFonts w:eastAsia="Aptos"/>
                <w:i/>
                <w:iCs/>
                <w:sz w:val="20"/>
              </w:rPr>
            </w:pPr>
            <w:r w:rsidRPr="0023633A">
              <w:rPr>
                <w:rFonts w:eastAsia="Aptos"/>
                <w:i/>
                <w:iCs/>
                <w:sz w:val="20"/>
              </w:rPr>
              <w:t>(ii) type: at sight and with deferred payment</w:t>
            </w:r>
          </w:p>
          <w:p w14:paraId="70770D56" w14:textId="77777777" w:rsidR="003B45B1" w:rsidRPr="0023633A" w:rsidRDefault="003B45B1" w:rsidP="003B45B1">
            <w:pPr>
              <w:ind w:left="360"/>
              <w:jc w:val="both"/>
              <w:rPr>
                <w:rFonts w:eastAsia="Aptos"/>
                <w:i/>
                <w:iCs/>
                <w:sz w:val="20"/>
              </w:rPr>
            </w:pPr>
            <w:r w:rsidRPr="0023633A">
              <w:rPr>
                <w:rFonts w:eastAsia="Aptos"/>
                <w:i/>
                <w:iCs/>
                <w:sz w:val="20"/>
              </w:rPr>
              <w:t xml:space="preserve">(iii) currency: </w:t>
            </w:r>
            <w:r w:rsidRPr="0023633A">
              <w:rPr>
                <w:rFonts w:eastAsia="Aptos"/>
                <w:b/>
                <w:bCs/>
                <w:i/>
                <w:iCs/>
                <w:sz w:val="20"/>
              </w:rPr>
              <w:t>RON/EUR</w:t>
            </w:r>
          </w:p>
          <w:p w14:paraId="224783F2" w14:textId="77777777" w:rsidR="003B45B1" w:rsidRPr="0023633A" w:rsidRDefault="003B45B1" w:rsidP="003B45B1">
            <w:pPr>
              <w:ind w:left="360"/>
              <w:jc w:val="both"/>
              <w:rPr>
                <w:rFonts w:eastAsia="Aptos"/>
                <w:i/>
                <w:iCs/>
                <w:sz w:val="20"/>
              </w:rPr>
            </w:pPr>
            <w:r w:rsidRPr="0023633A">
              <w:rPr>
                <w:rFonts w:eastAsia="Aptos"/>
                <w:i/>
                <w:iCs/>
                <w:sz w:val="20"/>
              </w:rPr>
              <w:t xml:space="preserve">(iv) maximum amount available: </w:t>
            </w:r>
            <w:r w:rsidRPr="0023633A">
              <w:rPr>
                <w:rFonts w:eastAsia="Aptos"/>
                <w:b/>
                <w:bCs/>
                <w:i/>
                <w:iCs/>
                <w:sz w:val="20"/>
              </w:rPr>
              <w:t>the equivalent of EUR 3,500,000 (three-million-five-hundred-thousand-Euro)</w:t>
            </w:r>
          </w:p>
          <w:p w14:paraId="2C9D9D61" w14:textId="77777777" w:rsidR="003B45B1" w:rsidRPr="0023633A" w:rsidRDefault="003B45B1" w:rsidP="003B45B1">
            <w:pPr>
              <w:ind w:left="360"/>
              <w:jc w:val="both"/>
              <w:rPr>
                <w:rFonts w:eastAsia="Aptos"/>
                <w:i/>
                <w:iCs/>
                <w:sz w:val="20"/>
              </w:rPr>
            </w:pPr>
            <w:r w:rsidRPr="0023633A">
              <w:rPr>
                <w:rFonts w:eastAsia="Aptos"/>
                <w:i/>
                <w:iCs/>
                <w:sz w:val="20"/>
              </w:rPr>
              <w:t>(v) tenor of each Drawing: maximum 12 months or maximum 12 months with automated renewal option</w:t>
            </w:r>
          </w:p>
          <w:p w14:paraId="35AB4A23" w14:textId="77777777" w:rsidR="003B45B1" w:rsidRPr="0023633A" w:rsidRDefault="003B45B1" w:rsidP="003B45B1">
            <w:pPr>
              <w:ind w:left="360"/>
              <w:jc w:val="both"/>
              <w:rPr>
                <w:rFonts w:eastAsia="Aptos"/>
                <w:i/>
                <w:iCs/>
                <w:sz w:val="20"/>
              </w:rPr>
            </w:pPr>
            <w:r w:rsidRPr="0023633A">
              <w:rPr>
                <w:rFonts w:eastAsia="Aptos"/>
                <w:i/>
                <w:iCs/>
                <w:sz w:val="20"/>
              </w:rPr>
              <w:lastRenderedPageBreak/>
              <w:t>The Bank reserves the right not to extend the issued Letters of credit. In this case, the Bank will notify the Borrowers at least 60 days prior to the expiry date of the respective Letters of credit.  </w:t>
            </w:r>
          </w:p>
          <w:p w14:paraId="0747E787" w14:textId="77777777" w:rsidR="003B45B1" w:rsidRPr="0023633A" w:rsidRDefault="003B45B1" w:rsidP="003B45B1">
            <w:pPr>
              <w:ind w:left="360"/>
              <w:jc w:val="both"/>
              <w:rPr>
                <w:rFonts w:eastAsia="Aptos"/>
                <w:i/>
                <w:iCs/>
                <w:sz w:val="20"/>
              </w:rPr>
            </w:pPr>
            <w:r w:rsidRPr="0023633A">
              <w:rPr>
                <w:rFonts w:eastAsia="Aptos"/>
                <w:i/>
                <w:iCs/>
                <w:sz w:val="20"/>
              </w:rPr>
              <w:t>(vi) fees:</w:t>
            </w:r>
          </w:p>
          <w:p w14:paraId="6C89CC1B" w14:textId="77777777" w:rsidR="003B45B1" w:rsidRPr="0023633A" w:rsidRDefault="003B45B1" w:rsidP="003B45B1">
            <w:pPr>
              <w:ind w:left="360"/>
              <w:jc w:val="both"/>
              <w:rPr>
                <w:rFonts w:eastAsia="Aptos"/>
                <w:i/>
                <w:iCs/>
                <w:sz w:val="20"/>
              </w:rPr>
            </w:pPr>
            <w:r w:rsidRPr="0023633A">
              <w:rPr>
                <w:rFonts w:eastAsia="Aptos"/>
                <w:i/>
                <w:iCs/>
                <w:sz w:val="20"/>
              </w:rPr>
              <w:t>1. Fees applicable in case of Letters of credit securing the Borrowers and Borrower’s Group entities obligations, in Romania</w:t>
            </w:r>
          </w:p>
          <w:p w14:paraId="7D680C22" w14:textId="77777777" w:rsidR="003B45B1" w:rsidRPr="0023633A" w:rsidRDefault="003B45B1" w:rsidP="003B45B1">
            <w:pPr>
              <w:ind w:left="360"/>
              <w:jc w:val="both"/>
              <w:rPr>
                <w:rFonts w:eastAsia="Aptos"/>
                <w:i/>
                <w:iCs/>
                <w:sz w:val="20"/>
              </w:rPr>
            </w:pPr>
            <w:r w:rsidRPr="0023633A">
              <w:rPr>
                <w:rFonts w:eastAsia="Aptos"/>
                <w:i/>
                <w:iCs/>
                <w:sz w:val="20"/>
                <w:u w:val="single"/>
              </w:rPr>
              <w:t>Issuance Fee</w:t>
            </w:r>
            <w:r w:rsidRPr="0023633A">
              <w:rPr>
                <w:rFonts w:eastAsia="Aptos"/>
                <w:i/>
                <w:iCs/>
                <w:sz w:val="20"/>
              </w:rPr>
              <w:t>: 0.6% p.a., payable in advance at the issuance of each drawing (Letter of credit);</w:t>
            </w:r>
          </w:p>
          <w:p w14:paraId="1BA67CF3" w14:textId="77777777" w:rsidR="003B45B1" w:rsidRPr="0023633A" w:rsidRDefault="003B45B1" w:rsidP="003B45B1">
            <w:pPr>
              <w:ind w:left="360"/>
              <w:jc w:val="both"/>
              <w:rPr>
                <w:rFonts w:eastAsia="Aptos"/>
                <w:i/>
                <w:iCs/>
                <w:sz w:val="20"/>
              </w:rPr>
            </w:pPr>
            <w:r w:rsidRPr="0023633A">
              <w:rPr>
                <w:rFonts w:eastAsia="Aptos"/>
                <w:i/>
                <w:iCs/>
                <w:sz w:val="20"/>
              </w:rPr>
              <w:t>2. Fees applicable in case of Letters of credit securing the Borrowers and Borrower’s Group entities obligations, outside Romania*</w:t>
            </w:r>
          </w:p>
          <w:p w14:paraId="5D142ED9" w14:textId="77777777" w:rsidR="003B45B1" w:rsidRPr="0023633A" w:rsidRDefault="003B45B1" w:rsidP="003B45B1">
            <w:pPr>
              <w:ind w:left="360"/>
              <w:jc w:val="both"/>
              <w:rPr>
                <w:rFonts w:eastAsia="Aptos"/>
                <w:i/>
                <w:iCs/>
                <w:sz w:val="20"/>
              </w:rPr>
            </w:pPr>
            <w:r w:rsidRPr="0023633A">
              <w:rPr>
                <w:rFonts w:eastAsia="Aptos"/>
                <w:i/>
                <w:iCs/>
                <w:sz w:val="20"/>
                <w:u w:val="single"/>
              </w:rPr>
              <w:t>Issuance Fee</w:t>
            </w:r>
            <w:r w:rsidRPr="0023633A">
              <w:rPr>
                <w:rFonts w:eastAsia="Aptos"/>
                <w:i/>
                <w:iCs/>
                <w:sz w:val="20"/>
              </w:rPr>
              <w:t>: USD 500 p.a., payable in advance at the issuance of each Letters of credit;</w:t>
            </w:r>
          </w:p>
          <w:p w14:paraId="6A5619FD" w14:textId="77777777" w:rsidR="003B45B1" w:rsidRPr="0023633A" w:rsidRDefault="003B45B1" w:rsidP="003B45B1">
            <w:pPr>
              <w:ind w:left="360"/>
              <w:jc w:val="both"/>
              <w:rPr>
                <w:rFonts w:eastAsia="Aptos"/>
                <w:i/>
                <w:iCs/>
                <w:sz w:val="20"/>
              </w:rPr>
            </w:pPr>
            <w:r w:rsidRPr="0023633A">
              <w:rPr>
                <w:rFonts w:eastAsia="Aptos"/>
                <w:i/>
                <w:iCs/>
                <w:sz w:val="20"/>
                <w:u w:val="single"/>
              </w:rPr>
              <w:t>Legal Review Fee</w:t>
            </w:r>
            <w:r w:rsidRPr="0023633A">
              <w:rPr>
                <w:rFonts w:eastAsia="Aptos"/>
                <w:i/>
                <w:iCs/>
                <w:sz w:val="20"/>
              </w:rPr>
              <w:t>: USD 500 per Letters of credit, payable in advance at the issuance of each nonstandard Letter of credit</w:t>
            </w:r>
          </w:p>
          <w:p w14:paraId="042FF2FA" w14:textId="77777777" w:rsidR="003B45B1" w:rsidRPr="0023633A" w:rsidRDefault="003B45B1" w:rsidP="003B45B1">
            <w:pPr>
              <w:ind w:left="360"/>
              <w:jc w:val="both"/>
              <w:rPr>
                <w:rFonts w:eastAsia="Aptos"/>
                <w:i/>
                <w:iCs/>
                <w:sz w:val="20"/>
                <w:highlight w:val="yellow"/>
              </w:rPr>
            </w:pPr>
            <w:r w:rsidRPr="0023633A">
              <w:rPr>
                <w:rFonts w:eastAsia="Aptos"/>
                <w:i/>
                <w:iCs/>
                <w:sz w:val="20"/>
                <w:u w:val="single"/>
              </w:rPr>
              <w:t>Notary Authentication Fee of Citi signatures</w:t>
            </w:r>
            <w:r w:rsidRPr="0023633A">
              <w:rPr>
                <w:rFonts w:eastAsia="Aptos"/>
                <w:i/>
                <w:iCs/>
                <w:sz w:val="20"/>
              </w:rPr>
              <w:t>: USD 300 per Letters of credit, payable only in case of Bank signatures authentication request coming from the beneficiary</w:t>
            </w:r>
          </w:p>
          <w:p w14:paraId="3E892228" w14:textId="77777777" w:rsidR="003B45B1" w:rsidRPr="0023633A" w:rsidRDefault="003B45B1" w:rsidP="003B45B1">
            <w:pPr>
              <w:ind w:left="360"/>
              <w:jc w:val="both"/>
              <w:rPr>
                <w:rFonts w:eastAsia="Aptos"/>
                <w:i/>
                <w:iCs/>
                <w:sz w:val="20"/>
              </w:rPr>
            </w:pPr>
            <w:r w:rsidRPr="0023633A">
              <w:rPr>
                <w:rFonts w:eastAsia="Aptos"/>
                <w:i/>
                <w:iCs/>
                <w:sz w:val="20"/>
                <w:u w:val="single"/>
              </w:rPr>
              <w:t>Courier/Post Charges</w:t>
            </w:r>
            <w:r w:rsidRPr="0023633A">
              <w:rPr>
                <w:rFonts w:eastAsia="Aptos"/>
                <w:i/>
                <w:iCs/>
                <w:sz w:val="20"/>
              </w:rPr>
              <w:t>: USD 200 per Letters of credit, payable in the case of hard copy commitments required to be send towards beneficiary via courier or post</w:t>
            </w:r>
          </w:p>
          <w:p w14:paraId="2DF0415B" w14:textId="77777777" w:rsidR="003B45B1" w:rsidRPr="0023633A" w:rsidRDefault="003B45B1" w:rsidP="003B45B1">
            <w:pPr>
              <w:ind w:left="360"/>
              <w:jc w:val="both"/>
              <w:rPr>
                <w:rFonts w:eastAsia="Aptos"/>
                <w:i/>
                <w:iCs/>
                <w:sz w:val="20"/>
              </w:rPr>
            </w:pPr>
            <w:r w:rsidRPr="0023633A">
              <w:rPr>
                <w:rFonts w:eastAsia="Aptos"/>
                <w:i/>
                <w:iCs/>
                <w:sz w:val="20"/>
              </w:rPr>
              <w:t>*Note:    these fees may be adjusted depending on each Citigroup Inc Subsidiary from the country in which the Letter of credit is issued  </w:t>
            </w:r>
          </w:p>
          <w:p w14:paraId="75081E51" w14:textId="77777777" w:rsidR="003B45B1" w:rsidRPr="0023633A" w:rsidRDefault="003B45B1" w:rsidP="003B45B1">
            <w:pPr>
              <w:ind w:left="360"/>
              <w:jc w:val="both"/>
              <w:rPr>
                <w:rFonts w:eastAsia="Aptos"/>
                <w:i/>
                <w:iCs/>
                <w:sz w:val="20"/>
              </w:rPr>
            </w:pPr>
            <w:r w:rsidRPr="0023633A">
              <w:rPr>
                <w:rFonts w:eastAsia="Aptos"/>
                <w:i/>
                <w:iCs/>
                <w:sz w:val="20"/>
              </w:rPr>
              <w:t>(vii) other fees:  any Letter of credit issuance may involve payment of fees, other than the ones mentioned above and which will be further communicated by the Bank at the time of sending the issuance request.</w:t>
            </w:r>
          </w:p>
          <w:p w14:paraId="537FF698" w14:textId="77777777" w:rsidR="003B45B1" w:rsidRPr="0023633A" w:rsidRDefault="003B45B1" w:rsidP="003B45B1">
            <w:pPr>
              <w:spacing w:before="60"/>
              <w:jc w:val="both"/>
              <w:rPr>
                <w:szCs w:val="22"/>
              </w:rPr>
            </w:pPr>
            <w:r w:rsidRPr="0023633A">
              <w:rPr>
                <w:szCs w:val="22"/>
              </w:rPr>
              <w:t xml:space="preserve">At any time, the total maximum amount utilized within the Credit Types under articles a. and b. cannot exceed the maximum available amount of EUR </w:t>
            </w:r>
            <w:r w:rsidRPr="0023633A">
              <w:rPr>
                <w:b/>
                <w:bCs/>
                <w:szCs w:val="22"/>
              </w:rPr>
              <w:t>3,500,000 (three-million-five-hundred-thousand-Euro)</w:t>
            </w:r>
            <w:r w:rsidRPr="0023633A">
              <w:rPr>
                <w:szCs w:val="22"/>
              </w:rPr>
              <w:t xml:space="preserve"> (or equivalent).</w:t>
            </w:r>
          </w:p>
          <w:p w14:paraId="6F241815" w14:textId="77777777" w:rsidR="003B45B1" w:rsidRPr="0023633A" w:rsidRDefault="003B45B1" w:rsidP="003B45B1">
            <w:pPr>
              <w:jc w:val="both"/>
              <w:rPr>
                <w:b/>
                <w:bCs/>
                <w:szCs w:val="22"/>
              </w:rPr>
            </w:pPr>
            <w:r w:rsidRPr="0023633A">
              <w:rPr>
                <w:b/>
                <w:bCs/>
                <w:szCs w:val="22"/>
              </w:rPr>
              <w:t xml:space="preserve">Facility / review fee: 0,5% from the maximum amount of the Facility, payable by the Borrowers at the contract signing date and at each annual anniversary. </w:t>
            </w:r>
          </w:p>
          <w:p w14:paraId="56BCC8ED" w14:textId="77777777" w:rsidR="003B45B1" w:rsidRPr="0023633A" w:rsidRDefault="003B45B1" w:rsidP="003B45B1">
            <w:pPr>
              <w:pStyle w:val="AODocTxt"/>
              <w:rPr>
                <w:noProof/>
                <w:lang w:val="ro-RO"/>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p>
          <w:p w14:paraId="23750A22" w14:textId="77777777" w:rsidR="003B45B1" w:rsidRPr="0023633A" w:rsidRDefault="003B45B1" w:rsidP="003B45B1">
            <w:pPr>
              <w:pStyle w:val="AODocTxt"/>
              <w:rPr>
                <w:b/>
                <w:bCs/>
                <w:noProof/>
                <w:lang w:val="ro-RO"/>
              </w:rPr>
            </w:pPr>
            <w:r w:rsidRPr="0023633A">
              <w:rPr>
                <w:b/>
                <w:bCs/>
                <w:noProof/>
                <w:lang w:val="ro-RO"/>
              </w:rPr>
              <w:t>2. Item no. 2</w:t>
            </w:r>
          </w:p>
          <w:p w14:paraId="5C12929E" w14:textId="77777777" w:rsidR="003B45B1" w:rsidRPr="0023633A" w:rsidRDefault="003B45B1" w:rsidP="003B45B1">
            <w:pPr>
              <w:pStyle w:val="AODocTxt"/>
              <w:rPr>
                <w:iCs/>
                <w:noProof/>
                <w:lang w:val="en-US"/>
              </w:rPr>
            </w:pPr>
            <w:r w:rsidRPr="0023633A">
              <w:rPr>
                <w:b/>
                <w:bCs/>
                <w:iCs/>
                <w:noProof/>
                <w:lang w:val="en-US"/>
              </w:rPr>
              <w:t>Establishing</w:t>
            </w:r>
            <w:r w:rsidRPr="0023633A">
              <w:rPr>
                <w:iCs/>
                <w:noProof/>
                <w:lang w:val="en-US"/>
              </w:rPr>
              <w:t xml:space="preserve">, in favor of the Bank, under a corresponding contract of guarantee, of the first ranking guarantee within the Bank's terms and conditions, in order to guarantee the payment of all amounts due under any of the Credit Types related to the Facility from </w:t>
            </w:r>
            <w:r w:rsidRPr="0023633A">
              <w:rPr>
                <w:noProof/>
                <w:lang w:val="en-US"/>
              </w:rPr>
              <w:t>point</w:t>
            </w:r>
            <w:r w:rsidRPr="0023633A">
              <w:rPr>
                <w:iCs/>
                <w:noProof/>
                <w:lang w:val="en-US"/>
              </w:rPr>
              <w:t xml:space="preserve"> 1 on the EGMS agenda, respectively:</w:t>
            </w:r>
          </w:p>
          <w:p w14:paraId="4F8F9030" w14:textId="77777777" w:rsidR="003B45B1" w:rsidRPr="0023633A" w:rsidRDefault="003B45B1" w:rsidP="003B45B1">
            <w:pPr>
              <w:pStyle w:val="AODocTxt"/>
              <w:spacing w:before="0"/>
              <w:rPr>
                <w:i/>
                <w:noProof/>
                <w:lang w:val="en-US"/>
              </w:rPr>
            </w:pPr>
            <w:r w:rsidRPr="0023633A">
              <w:rPr>
                <w:i/>
                <w:noProof/>
                <w:lang w:val="en-US"/>
              </w:rPr>
              <w:t xml:space="preserve">            a. Movable mortgage on the Debtors' bank accounts opened at the Bank.</w:t>
            </w:r>
          </w:p>
          <w:p w14:paraId="519B64A4" w14:textId="77777777" w:rsidR="003B45B1" w:rsidRPr="0023633A" w:rsidRDefault="003B45B1" w:rsidP="003B45B1">
            <w:pPr>
              <w:pStyle w:val="AODocTxt"/>
              <w:rPr>
                <w:noProof/>
                <w:lang w:val="ro-RO"/>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p>
          <w:p w14:paraId="5170D44C" w14:textId="77777777" w:rsidR="003B45B1" w:rsidRPr="0023633A" w:rsidRDefault="003B45B1" w:rsidP="003B45B1">
            <w:pPr>
              <w:pStyle w:val="AODocTxt"/>
              <w:rPr>
                <w:b/>
                <w:bCs/>
                <w:noProof/>
                <w:lang w:val="ro-RO"/>
              </w:rPr>
            </w:pPr>
            <w:r w:rsidRPr="0023633A">
              <w:rPr>
                <w:b/>
                <w:bCs/>
              </w:rPr>
              <w:t>3.</w:t>
            </w:r>
            <w:r w:rsidRPr="0023633A">
              <w:rPr>
                <w:b/>
                <w:bCs/>
                <w:noProof/>
                <w:lang w:val="ro-RO"/>
              </w:rPr>
              <w:t xml:space="preserve"> Item no. 3</w:t>
            </w:r>
          </w:p>
          <w:p w14:paraId="708D56F3" w14:textId="77777777" w:rsidR="003B45B1" w:rsidRPr="0023633A" w:rsidRDefault="003B45B1" w:rsidP="003B45B1">
            <w:pPr>
              <w:spacing w:before="240" w:after="240"/>
              <w:jc w:val="both"/>
              <w:rPr>
                <w:i/>
                <w:snapToGrid w:val="0"/>
                <w:szCs w:val="22"/>
              </w:rPr>
            </w:pPr>
            <w:r w:rsidRPr="0023633A">
              <w:rPr>
                <w:b/>
                <w:bCs/>
                <w:snapToGrid w:val="0"/>
                <w:szCs w:val="22"/>
              </w:rPr>
              <w:t>Signing</w:t>
            </w:r>
            <w:r w:rsidRPr="0023633A">
              <w:rPr>
                <w:snapToGrid w:val="0"/>
                <w:szCs w:val="22"/>
              </w:rPr>
              <w:t>, together with US Food Network SA, as borrowers and/or debtors, as the case may be, of the  necessary documentation for contracting/ drawing the above Facility, the Framework Agreement for the Granting of Bank Credits, the Movable Mortgage Agreement on bank accounts, the addenda thereof (including, but not limited to those regarding the  Facility extension), including their annexes, to be signed by the Company, under the conditions, terms and costs requested by the Bank, as well as all and any other  accessory documents and/or deeds in connection with or relating to the previously mentioned contracts, necessary for using the Facility, and/or using/reimbursement applications and/or any other necessary documents or in connection with these.</w:t>
            </w:r>
          </w:p>
          <w:p w14:paraId="794DA554" w14:textId="77777777" w:rsidR="003B45B1" w:rsidRPr="0023633A" w:rsidRDefault="003B45B1" w:rsidP="003B45B1">
            <w:pPr>
              <w:pStyle w:val="AODocTxt"/>
              <w:rPr>
                <w:b/>
                <w:bCs/>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p>
          <w:p w14:paraId="32CC8DDD" w14:textId="77777777" w:rsidR="003B45B1" w:rsidRPr="0023633A" w:rsidRDefault="003B45B1" w:rsidP="003B45B1">
            <w:pPr>
              <w:pStyle w:val="AODocTxt"/>
              <w:numPr>
                <w:ilvl w:val="0"/>
                <w:numId w:val="0"/>
              </w:numPr>
              <w:spacing w:line="240" w:lineRule="auto"/>
              <w:rPr>
                <w:b/>
                <w:bCs/>
              </w:rPr>
            </w:pPr>
          </w:p>
          <w:p w14:paraId="6C6B24FC" w14:textId="77777777" w:rsidR="003B45B1" w:rsidRPr="0023633A" w:rsidRDefault="003B45B1" w:rsidP="003B45B1">
            <w:pPr>
              <w:pStyle w:val="AODocTxt"/>
              <w:numPr>
                <w:ilvl w:val="0"/>
                <w:numId w:val="0"/>
              </w:numPr>
              <w:spacing w:line="240" w:lineRule="auto"/>
              <w:rPr>
                <w:b/>
                <w:bCs/>
                <w:noProof/>
                <w:lang w:val="ro-RO"/>
              </w:rPr>
            </w:pPr>
            <w:r w:rsidRPr="0023633A">
              <w:rPr>
                <w:b/>
                <w:bCs/>
              </w:rPr>
              <w:t xml:space="preserve">4. </w:t>
            </w:r>
            <w:r w:rsidRPr="0023633A">
              <w:rPr>
                <w:b/>
                <w:bCs/>
                <w:noProof/>
                <w:lang w:val="ro-RO"/>
              </w:rPr>
              <w:t>Item no. 4</w:t>
            </w:r>
          </w:p>
          <w:p w14:paraId="6576BF3F" w14:textId="77777777" w:rsidR="003B45B1" w:rsidRPr="0023633A" w:rsidRDefault="003B45B1" w:rsidP="003B45B1">
            <w:pPr>
              <w:spacing w:after="120"/>
              <w:jc w:val="both"/>
              <w:rPr>
                <w:szCs w:val="22"/>
                <w:bdr w:val="none" w:sz="0" w:space="0" w:color="auto" w:frame="1"/>
              </w:rPr>
            </w:pPr>
            <w:r w:rsidRPr="0023633A">
              <w:rPr>
                <w:b/>
                <w:bCs/>
                <w:szCs w:val="22"/>
                <w:bdr w:val="none" w:sz="0" w:space="0" w:color="auto" w:frame="1"/>
              </w:rPr>
              <w:t>Empower</w:t>
            </w:r>
            <w:r w:rsidRPr="0023633A">
              <w:rPr>
                <w:szCs w:val="22"/>
                <w:bdr w:val="none" w:sz="0" w:space="0" w:color="auto" w:frame="1"/>
              </w:rPr>
              <w:t xml:space="preserve"> the Chief Executive Officer </w:t>
            </w:r>
            <w:r w:rsidRPr="0023633A">
              <w:rPr>
                <w:rFonts w:eastAsia="Calibri"/>
                <w:bCs/>
                <w:szCs w:val="22"/>
              </w:rPr>
              <w:t>and/or</w:t>
            </w:r>
            <w:r w:rsidRPr="0023633A">
              <w:rPr>
                <w:rFonts w:eastAsia="Calibri"/>
                <w:b/>
                <w:szCs w:val="22"/>
              </w:rPr>
              <w:t xml:space="preserve"> </w:t>
            </w:r>
            <w:r w:rsidRPr="0023633A">
              <w:rPr>
                <w:szCs w:val="22"/>
                <w:bdr w:val="none" w:sz="0" w:space="0" w:color="auto" w:frame="1"/>
              </w:rPr>
              <w:t xml:space="preserve">the Chief Financial Officer of the Company to represent the Company in relation to the Bank, together or individually, with full powers, in order to negotiate and to validly sign, in the name and on behalf of the Company, of the terms and conditions of the necessary documentation mentioned at point 3 here above, for contracting/ drawing the Facility, as well as any other using/reimbursement applications and/or any other necessary documents or in connection with the </w:t>
            </w:r>
            <w:r w:rsidRPr="0023633A">
              <w:rPr>
                <w:szCs w:val="22"/>
                <w:bdr w:val="none" w:sz="0" w:space="0" w:color="auto" w:frame="1"/>
              </w:rPr>
              <w:lastRenderedPageBreak/>
              <w:t xml:space="preserve">above mentioned documents and to fulfil any formality in order to implement the above decisions, their decision and signature being opposable to the Company, within the limit of the mandate granted. </w:t>
            </w:r>
          </w:p>
          <w:p w14:paraId="1793BCB7" w14:textId="77777777" w:rsidR="003B45B1" w:rsidRPr="0023633A" w:rsidRDefault="003B45B1" w:rsidP="003B45B1">
            <w:pPr>
              <w:spacing w:after="120"/>
              <w:jc w:val="both"/>
              <w:rPr>
                <w:snapToGrid w:val="0"/>
                <w:szCs w:val="22"/>
              </w:rPr>
            </w:pPr>
            <w:r w:rsidRPr="0023633A">
              <w:rPr>
                <w:szCs w:val="22"/>
                <w:bdr w:val="none" w:sz="0" w:space="0" w:color="auto" w:frame="1"/>
              </w:rPr>
              <w:t xml:space="preserve">The Chief Executive Officer </w:t>
            </w:r>
            <w:r w:rsidRPr="0023633A">
              <w:rPr>
                <w:rFonts w:eastAsia="Calibri"/>
                <w:bCs/>
                <w:szCs w:val="22"/>
              </w:rPr>
              <w:t>and/or</w:t>
            </w:r>
            <w:r w:rsidRPr="0023633A">
              <w:rPr>
                <w:rFonts w:eastAsia="Calibri"/>
                <w:b/>
                <w:szCs w:val="22"/>
              </w:rPr>
              <w:t xml:space="preserve"> </w:t>
            </w:r>
            <w:r w:rsidRPr="0023633A">
              <w:rPr>
                <w:szCs w:val="22"/>
                <w:bdr w:val="none" w:sz="0" w:space="0" w:color="auto" w:frame="1"/>
              </w:rPr>
              <w:t xml:space="preserve">the Chief Financial Officer of the Company </w:t>
            </w:r>
            <w:r w:rsidRPr="0023633A">
              <w:rPr>
                <w:snapToGrid w:val="0"/>
                <w:szCs w:val="22"/>
              </w:rPr>
              <w:t xml:space="preserve">may, in their turn, together or individually, to empower and grant authority to any third party they deem appropriate, in order to carry out all or part of the above-mentioned tasks, within the limits of the mandate granted. </w:t>
            </w:r>
          </w:p>
          <w:p w14:paraId="19BB7061" w14:textId="77777777" w:rsidR="003B45B1" w:rsidRPr="0023633A" w:rsidRDefault="003B45B1" w:rsidP="003B45B1">
            <w:pPr>
              <w:pStyle w:val="AODocTxt"/>
              <w:rPr>
                <w:b/>
                <w:bCs/>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p>
          <w:p w14:paraId="46D3000C" w14:textId="77777777" w:rsidR="003B45B1" w:rsidRPr="0023633A" w:rsidRDefault="003B45B1" w:rsidP="003B45B1">
            <w:pPr>
              <w:pStyle w:val="AODocTxt"/>
              <w:rPr>
                <w:b/>
                <w:bCs/>
                <w:noProof/>
                <w:lang w:val="ro-RO"/>
              </w:rPr>
            </w:pPr>
            <w:r w:rsidRPr="0023633A">
              <w:rPr>
                <w:b/>
                <w:bCs/>
              </w:rPr>
              <w:t>5.</w:t>
            </w:r>
            <w:r w:rsidRPr="0023633A">
              <w:rPr>
                <w:b/>
                <w:bCs/>
                <w:noProof/>
                <w:lang w:val="ro-RO"/>
              </w:rPr>
              <w:t xml:space="preserve"> Item no. 5</w:t>
            </w:r>
          </w:p>
          <w:p w14:paraId="27B598CA" w14:textId="2839CE60" w:rsidR="003B45B1" w:rsidRPr="0023633A" w:rsidRDefault="003B45B1" w:rsidP="003B45B1">
            <w:pPr>
              <w:spacing w:before="60" w:after="120"/>
              <w:jc w:val="both"/>
              <w:rPr>
                <w:szCs w:val="22"/>
              </w:rPr>
            </w:pPr>
            <w:r w:rsidRPr="0023633A">
              <w:rPr>
                <w:b/>
                <w:bCs/>
                <w:szCs w:val="22"/>
              </w:rPr>
              <w:t>Authorizing</w:t>
            </w:r>
            <w:r w:rsidRPr="0023633A">
              <w:rPr>
                <w:szCs w:val="22"/>
              </w:rPr>
              <w:t xml:space="preserve"> the acquisition by the Company, either directly or by a third party acting on its own behalf, but for the Company, of a maximum number of 75,346 own shares (maximum 0,194194% of the existing share capital on the date of approval of this point by the EGSM), for 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threshold of the total subscribed capital of the Company, in order to grant them (i) to the Company's management members for the purpose of implementing the Option Grant Plan for Sphera Directors for 2023, as well as (ii) to some management members of some of the Company's subsidiaries.  The buy-back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in order to acquire a maximum of 75,346 shares.</w:t>
            </w:r>
          </w:p>
          <w:p w14:paraId="7CB33B58" w14:textId="77777777" w:rsidR="003B45B1" w:rsidRPr="0023633A" w:rsidRDefault="003B45B1" w:rsidP="003B45B1">
            <w:pPr>
              <w:pStyle w:val="AODocTxt"/>
              <w:rPr>
                <w:b/>
                <w:bCs/>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p>
          <w:p w14:paraId="02F8A77E" w14:textId="77777777" w:rsidR="003B45B1" w:rsidRPr="0023633A" w:rsidRDefault="003B45B1" w:rsidP="003B45B1">
            <w:pPr>
              <w:pStyle w:val="AODocTxt"/>
              <w:rPr>
                <w:b/>
                <w:bCs/>
                <w:noProof/>
                <w:lang w:val="ro-RO"/>
              </w:rPr>
            </w:pPr>
            <w:r w:rsidRPr="0023633A">
              <w:rPr>
                <w:b/>
                <w:bCs/>
              </w:rPr>
              <w:t>6.</w:t>
            </w:r>
            <w:r w:rsidRPr="0023633A">
              <w:rPr>
                <w:b/>
                <w:bCs/>
                <w:noProof/>
                <w:lang w:val="ro-RO"/>
              </w:rPr>
              <w:t xml:space="preserve"> Item no. 6</w:t>
            </w:r>
          </w:p>
          <w:p w14:paraId="183E3E74" w14:textId="77777777" w:rsidR="003B45B1" w:rsidRPr="0023633A" w:rsidRDefault="003B45B1" w:rsidP="003B45B1">
            <w:pPr>
              <w:pStyle w:val="AODocTxt"/>
            </w:pPr>
            <w:r w:rsidRPr="0023633A">
              <w:rPr>
                <w:b/>
                <w:bCs/>
              </w:rPr>
              <w:t xml:space="preserve">Empower </w:t>
            </w:r>
            <w:r w:rsidRPr="0023633A">
              <w:t>the Board of Directors and, individually, its members in order to execute all necessary and useful operations and / or procedures, regarding the implementation of point 5 above.</w:t>
            </w:r>
          </w:p>
          <w:p w14:paraId="26EEAC08" w14:textId="77777777" w:rsidR="003B45B1" w:rsidRPr="0023633A" w:rsidRDefault="003B45B1" w:rsidP="003B45B1">
            <w:pPr>
              <w:pStyle w:val="AODocTxt"/>
              <w:rPr>
                <w:b/>
                <w:bCs/>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p>
          <w:p w14:paraId="2D4A68C1" w14:textId="77777777" w:rsidR="003B45B1" w:rsidRPr="0023633A" w:rsidRDefault="003B45B1" w:rsidP="003B45B1">
            <w:pPr>
              <w:pStyle w:val="AODocTxt"/>
              <w:rPr>
                <w:b/>
                <w:bCs/>
                <w:noProof/>
                <w:lang w:val="ro-RO"/>
              </w:rPr>
            </w:pPr>
            <w:r w:rsidRPr="0023633A">
              <w:rPr>
                <w:b/>
                <w:bCs/>
              </w:rPr>
              <w:t>7.</w:t>
            </w:r>
            <w:r w:rsidRPr="0023633A">
              <w:rPr>
                <w:b/>
                <w:bCs/>
                <w:noProof/>
                <w:lang w:val="ro-RO"/>
              </w:rPr>
              <w:t xml:space="preserve"> Item no. 7</w:t>
            </w:r>
          </w:p>
          <w:p w14:paraId="1AA17049" w14:textId="77777777" w:rsidR="003B45B1" w:rsidRPr="0023633A" w:rsidRDefault="003B45B1" w:rsidP="0009526B">
            <w:pPr>
              <w:spacing w:before="60" w:after="120"/>
              <w:jc w:val="both"/>
              <w:rPr>
                <w:szCs w:val="22"/>
              </w:rPr>
            </w:pPr>
            <w:r w:rsidRPr="0023633A">
              <w:rPr>
                <w:b/>
                <w:bCs/>
                <w:szCs w:val="22"/>
              </w:rPr>
              <w:t xml:space="preserve">Approval </w:t>
            </w:r>
            <w:r w:rsidRPr="0023633A">
              <w:rPr>
                <w:szCs w:val="22"/>
              </w:rPr>
              <w:t>of the authorization of the Board of Directors of the Company in order to acquire, either directly or by a third party acting on its own behalf, but for the Company, of a maximum number of 600,000 own shares (maximum 1,546418% of the existing share capital on the date of approval of this point by the EGSM), at a price per share between 5 RON and 50 RON,  for the purpose of share capital reduction of the Company, by cancelling the repurchased shares, in accordance with article 207 paragraph (1) letter (c) of Companies’ Law no. 31/1990 and</w:t>
            </w:r>
            <w:r w:rsidRPr="0023633A">
              <w:rPr>
                <w:b/>
                <w:bCs/>
                <w:szCs w:val="22"/>
              </w:rPr>
              <w:t xml:space="preserve"> </w:t>
            </w:r>
            <w:r w:rsidRPr="0023633A">
              <w:rPr>
                <w:szCs w:val="22"/>
              </w:rPr>
              <w:t>empowering</w:t>
            </w:r>
            <w:r w:rsidRPr="0023633A">
              <w:rPr>
                <w:b/>
                <w:bCs/>
                <w:szCs w:val="22"/>
              </w:rPr>
              <w:t xml:space="preserve"> </w:t>
            </w:r>
            <w:r w:rsidRPr="0023633A">
              <w:rPr>
                <w:szCs w:val="22"/>
                <w:bdr w:val="none" w:sz="0" w:space="0" w:color="auto" w:frame="1"/>
              </w:rPr>
              <w:t>the Board of Directors</w:t>
            </w:r>
            <w:r w:rsidRPr="0023633A">
              <w:rPr>
                <w:szCs w:val="22"/>
              </w:rPr>
              <w:t xml:space="preserve"> </w:t>
            </w:r>
            <w:r w:rsidRPr="0023633A">
              <w:rPr>
                <w:szCs w:val="22"/>
                <w:bdr w:val="none" w:sz="0" w:space="0" w:color="auto" w:frame="1"/>
              </w:rPr>
              <w:t xml:space="preserve">to execute all and any necessary and useful operations and/or procedures, within a maximum period of 24 (twenty-four) months from the date of the present </w:t>
            </w:r>
            <w:r w:rsidRPr="0023633A">
              <w:rPr>
                <w:szCs w:val="22"/>
              </w:rPr>
              <w:t>EGSM. The buy-back program implementation will be done only from own sources.</w:t>
            </w:r>
          </w:p>
          <w:p w14:paraId="3E5D4E87" w14:textId="77777777" w:rsidR="003B45B1" w:rsidRPr="0023633A" w:rsidRDefault="003B45B1" w:rsidP="003B45B1">
            <w:pPr>
              <w:pStyle w:val="AODocTxt"/>
              <w:rPr>
                <w:b/>
                <w:bCs/>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p>
          <w:p w14:paraId="1C9A58C0" w14:textId="77777777" w:rsidR="003B45B1" w:rsidRPr="0023633A" w:rsidRDefault="003B45B1" w:rsidP="003B45B1">
            <w:pPr>
              <w:pStyle w:val="AODocTxt"/>
              <w:rPr>
                <w:b/>
                <w:bCs/>
                <w:noProof/>
                <w:lang w:val="ro-RO"/>
              </w:rPr>
            </w:pPr>
            <w:r w:rsidRPr="0023633A">
              <w:rPr>
                <w:b/>
                <w:bCs/>
              </w:rPr>
              <w:t>8.</w:t>
            </w:r>
            <w:r w:rsidRPr="0023633A">
              <w:rPr>
                <w:b/>
                <w:bCs/>
                <w:noProof/>
                <w:lang w:val="ro-RO"/>
              </w:rPr>
              <w:t xml:space="preserve"> Item no. 8</w:t>
            </w:r>
          </w:p>
          <w:p w14:paraId="684B9111" w14:textId="77777777" w:rsidR="003B45B1" w:rsidRPr="0023633A" w:rsidRDefault="003B45B1" w:rsidP="003B45B1">
            <w:pPr>
              <w:pStyle w:val="AODocTxt"/>
            </w:pPr>
            <w:r w:rsidRPr="0023633A">
              <w:rPr>
                <w:b/>
                <w:bCs/>
              </w:rPr>
              <w:t xml:space="preserve">Approval </w:t>
            </w:r>
            <w:r w:rsidRPr="0023633A">
              <w:rPr>
                <w:snapToGrid w:val="0"/>
              </w:rPr>
              <w:t xml:space="preserve">of the date of </w:t>
            </w:r>
            <w:r w:rsidRPr="0023633A">
              <w:rPr>
                <w:b/>
                <w:bCs/>
                <w:i/>
                <w:snapToGrid w:val="0"/>
              </w:rPr>
              <w:t>May 17</w:t>
            </w:r>
            <w:r w:rsidRPr="0023633A">
              <w:rPr>
                <w:b/>
                <w:bCs/>
                <w:i/>
                <w:snapToGrid w:val="0"/>
                <w:vertAlign w:val="superscript"/>
              </w:rPr>
              <w:t>th</w:t>
            </w:r>
            <w:r w:rsidRPr="0023633A">
              <w:rPr>
                <w:b/>
                <w:bCs/>
                <w:i/>
                <w:snapToGrid w:val="0"/>
              </w:rPr>
              <w:t>, 2024,</w:t>
            </w:r>
            <w:r w:rsidRPr="0023633A">
              <w:rPr>
                <w:snapToGrid w:val="0"/>
              </w:rPr>
              <w:t xml:space="preserve"> as the </w:t>
            </w:r>
            <w:r w:rsidRPr="0023633A">
              <w:rPr>
                <w:b/>
                <w:bCs/>
                <w:i/>
                <w:color w:val="000000"/>
              </w:rPr>
              <w:t>record date</w:t>
            </w:r>
            <w:r w:rsidRPr="0023633A">
              <w:rPr>
                <w:color w:val="000000"/>
              </w:rPr>
              <w:t xml:space="preserve"> and of the for the identification of the shareholders who will benefit from the results of the EGSM and to whom the effects of the EGSM resolutions are applicable, in accordance with the applicable law.</w:t>
            </w:r>
          </w:p>
          <w:p w14:paraId="360938C8" w14:textId="77777777" w:rsidR="003B45B1" w:rsidRPr="0023633A" w:rsidRDefault="003B45B1" w:rsidP="003B45B1">
            <w:pPr>
              <w:pStyle w:val="AODocTxt"/>
              <w:rPr>
                <w:b/>
                <w:bCs/>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p>
          <w:p w14:paraId="7C7F0C1E" w14:textId="77777777" w:rsidR="0023633A" w:rsidRDefault="0023633A" w:rsidP="0009526B">
            <w:pPr>
              <w:pStyle w:val="AODocTxt"/>
              <w:numPr>
                <w:ilvl w:val="0"/>
                <w:numId w:val="0"/>
              </w:numPr>
              <w:rPr>
                <w:b/>
                <w:bCs/>
                <w:noProof/>
                <w:lang w:val="ro-RO"/>
              </w:rPr>
            </w:pPr>
          </w:p>
          <w:p w14:paraId="3FE0092E" w14:textId="77777777" w:rsidR="0009526B" w:rsidRPr="0023633A" w:rsidRDefault="0009526B" w:rsidP="0009526B">
            <w:pPr>
              <w:pStyle w:val="AODocTxt"/>
              <w:numPr>
                <w:ilvl w:val="0"/>
                <w:numId w:val="0"/>
              </w:numPr>
              <w:rPr>
                <w:b/>
                <w:bCs/>
                <w:noProof/>
                <w:lang w:val="ro-RO"/>
              </w:rPr>
            </w:pPr>
          </w:p>
          <w:p w14:paraId="1AD410F3" w14:textId="5CE94814" w:rsidR="003B45B1" w:rsidRPr="0023633A" w:rsidRDefault="003B45B1" w:rsidP="003B45B1">
            <w:pPr>
              <w:pStyle w:val="AODocTxt"/>
              <w:rPr>
                <w:b/>
                <w:bCs/>
                <w:noProof/>
                <w:lang w:val="ro-RO"/>
              </w:rPr>
            </w:pPr>
            <w:r w:rsidRPr="0023633A">
              <w:rPr>
                <w:b/>
                <w:bCs/>
              </w:rPr>
              <w:lastRenderedPageBreak/>
              <w:t>9.</w:t>
            </w:r>
            <w:r w:rsidRPr="0023633A">
              <w:rPr>
                <w:b/>
                <w:bCs/>
                <w:noProof/>
                <w:lang w:val="ro-RO"/>
              </w:rPr>
              <w:t xml:space="preserve"> Item no. 9</w:t>
            </w:r>
          </w:p>
          <w:p w14:paraId="549AE7E8" w14:textId="77777777" w:rsidR="003B45B1" w:rsidRPr="0023633A" w:rsidRDefault="003B45B1" w:rsidP="003B45B1">
            <w:pPr>
              <w:jc w:val="both"/>
              <w:rPr>
                <w:rFonts w:eastAsia="Calibri"/>
                <w:szCs w:val="22"/>
                <w:lang w:val="en-US"/>
              </w:rPr>
            </w:pPr>
            <w:r w:rsidRPr="0023633A">
              <w:rPr>
                <w:b/>
                <w:bCs/>
                <w:noProof/>
                <w:szCs w:val="22"/>
                <w:lang w:val="en-US"/>
              </w:rPr>
              <w:t xml:space="preserve">Empower </w:t>
            </w:r>
            <w:r w:rsidRPr="0023633A">
              <w:rPr>
                <w:rFonts w:eastAsia="Calibri"/>
                <w:szCs w:val="22"/>
                <w:lang w:val="en-US"/>
              </w:rPr>
              <w:t xml:space="preserve">of the Chairman of the Board of Directors of the Company to validly sign the EGSM resolutions and to fulfill, for and on behalf of the Company, of all necessary formalities before Trade Registry, Official Gazette and/or any other public and/or private authorities, for the registration/filing of the resolutions adopted by the EGSM, including payment of any fees, to request and receive any documents/deeds in this regard and/or related to the implementation of the resolutions adopted by this EGSM, his signature being fully valid and opposable to the Company. </w:t>
            </w:r>
          </w:p>
          <w:p w14:paraId="55BFA0DF" w14:textId="77777777" w:rsidR="003B45B1" w:rsidRPr="0023633A" w:rsidRDefault="003B45B1" w:rsidP="003B45B1">
            <w:pPr>
              <w:pStyle w:val="AODocTxt"/>
              <w:rPr>
                <w:b/>
                <w:bCs/>
              </w:rPr>
            </w:pPr>
            <w:r w:rsidRPr="0023633A">
              <w:rPr>
                <w:rFonts w:eastAsia="Calibri"/>
                <w:lang w:val="en-US"/>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338B72F0" w14:textId="77777777" w:rsidR="003B45B1" w:rsidRPr="0023633A" w:rsidRDefault="003B45B1" w:rsidP="003B45B1">
            <w:pPr>
              <w:pStyle w:val="AODocTxt"/>
              <w:rPr>
                <w:b/>
                <w:bCs/>
              </w:rPr>
            </w:pPr>
            <w:r w:rsidRPr="0023633A">
              <w:rPr>
                <w:noProof/>
                <w:lang w:val="ro-RO"/>
              </w:rPr>
              <w:t xml:space="preserve">In favor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Against </w:t>
            </w:r>
            <w:r w:rsidRPr="0023633A">
              <w:rPr>
                <w:noProof/>
                <w:lang w:val="ro-RO"/>
              </w:rPr>
              <w:fldChar w:fldCharType="begin">
                <w:ffData>
                  <w:name w:val=""/>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Abstain </w:t>
            </w:r>
            <w:r w:rsidRPr="0023633A">
              <w:rPr>
                <w:noProof/>
                <w:lang w:val="ro-RO"/>
              </w:rPr>
              <w:fldChar w:fldCharType="begin">
                <w:ffData>
                  <w:name w:val="Check1"/>
                  <w:enabled/>
                  <w:calcOnExit w:val="0"/>
                  <w:checkBox>
                    <w:size w:val="28"/>
                    <w:default w:val="0"/>
                  </w:checkBox>
                </w:ffData>
              </w:fldChar>
            </w:r>
            <w:r w:rsidRPr="0023633A">
              <w:rPr>
                <w:noProof/>
                <w:lang w:val="ro-RO"/>
              </w:rPr>
              <w:instrText xml:space="preserve"> FORMCHECKBOX </w:instrText>
            </w:r>
            <w:r w:rsidR="00331E0D">
              <w:rPr>
                <w:noProof/>
                <w:lang w:val="ro-RO"/>
              </w:rPr>
            </w:r>
            <w:r w:rsidR="00331E0D">
              <w:rPr>
                <w:noProof/>
                <w:lang w:val="ro-RO"/>
              </w:rPr>
              <w:fldChar w:fldCharType="separate"/>
            </w:r>
            <w:r w:rsidRPr="0023633A">
              <w:rPr>
                <w:noProof/>
                <w:lang w:val="ro-RO"/>
              </w:rPr>
              <w:fldChar w:fldCharType="end"/>
            </w:r>
            <w:r w:rsidRPr="0023633A">
              <w:rPr>
                <w:noProof/>
                <w:lang w:val="ro-RO"/>
              </w:rPr>
              <w:t xml:space="preserve"> </w:t>
            </w:r>
          </w:p>
          <w:p w14:paraId="71B3FED0" w14:textId="77777777" w:rsidR="00FD03E0" w:rsidRPr="0023633A" w:rsidRDefault="00BC15F9" w:rsidP="00BC15F9">
            <w:pPr>
              <w:pStyle w:val="AODocTxt"/>
              <w:rPr>
                <w:i/>
                <w:iCs/>
                <w:color w:val="808080"/>
              </w:rPr>
            </w:pPr>
            <w:r w:rsidRPr="0023633A">
              <w:rPr>
                <w:i/>
                <w:iCs/>
                <w:color w:val="808080"/>
              </w:rPr>
              <w:t>(Drafting note: Indicate your vote by ticking “X” in one of the boxes “IN FAVOR”, “AGAINST” or “ABSTAIN”. If more than one box is ticked, or no box is ticked, the respective vote shall be considered null.)</w:t>
            </w:r>
          </w:p>
        </w:tc>
      </w:tr>
      <w:tr w:rsidR="006C199B" w:rsidRPr="0023633A" w14:paraId="6F9582ED" w14:textId="77777777" w:rsidTr="00FC46B1">
        <w:tc>
          <w:tcPr>
            <w:tcW w:w="5000" w:type="pct"/>
          </w:tcPr>
          <w:p w14:paraId="346A52C6" w14:textId="77777777" w:rsidR="00924A03" w:rsidRPr="0023633A" w:rsidRDefault="006C199B" w:rsidP="005B79A7">
            <w:pPr>
              <w:pStyle w:val="AODocTxt"/>
              <w:numPr>
                <w:ilvl w:val="0"/>
                <w:numId w:val="0"/>
              </w:numPr>
              <w:spacing w:line="240" w:lineRule="auto"/>
              <w:rPr>
                <w:noProof/>
                <w:u w:val="single"/>
                <w:lang w:val="ro-RO"/>
              </w:rPr>
            </w:pPr>
            <w:r w:rsidRPr="0023633A">
              <w:rPr>
                <w:noProof/>
                <w:u w:val="single"/>
                <w:lang w:val="ro-RO"/>
              </w:rPr>
              <w:lastRenderedPageBreak/>
              <w:t>This</w:t>
            </w:r>
            <w:r w:rsidR="006B60E4" w:rsidRPr="0023633A">
              <w:rPr>
                <w:noProof/>
                <w:u w:val="single"/>
                <w:lang w:val="ro-RO"/>
              </w:rPr>
              <w:t xml:space="preserve"> </w:t>
            </w:r>
            <w:r w:rsidRPr="0023633A">
              <w:rPr>
                <w:noProof/>
                <w:u w:val="single"/>
                <w:lang w:val="ro-RO"/>
              </w:rPr>
              <w:t xml:space="preserve">ballot </w:t>
            </w:r>
            <w:r w:rsidR="00924A03" w:rsidRPr="0023633A">
              <w:rPr>
                <w:noProof/>
                <w:u w:val="single"/>
                <w:lang w:val="ro-RO"/>
              </w:rPr>
              <w:t>by correspondence:</w:t>
            </w:r>
          </w:p>
          <w:p w14:paraId="6DF64FFE" w14:textId="3CD69042" w:rsidR="00CD6CCC" w:rsidRPr="0023633A" w:rsidRDefault="00CD6CCC" w:rsidP="005B79A7">
            <w:pPr>
              <w:pStyle w:val="AODocTxt"/>
              <w:spacing w:line="240" w:lineRule="auto"/>
              <w:rPr>
                <w:noProof/>
                <w:lang w:val="ro-RO"/>
              </w:rPr>
            </w:pPr>
            <w:r w:rsidRPr="0023633A">
              <w:rPr>
                <w:noProof/>
                <w:lang w:val="ro-RO"/>
              </w:rPr>
              <w:t xml:space="preserve">a. is </w:t>
            </w:r>
            <w:r w:rsidR="009F3775" w:rsidRPr="0023633A">
              <w:rPr>
                <w:noProof/>
                <w:lang w:val="ro-RO"/>
              </w:rPr>
              <w:t xml:space="preserve">valid only for the </w:t>
            </w:r>
            <w:r w:rsidR="00C50D7D" w:rsidRPr="0023633A">
              <w:rPr>
                <w:noProof/>
                <w:lang w:val="ro-RO"/>
              </w:rPr>
              <w:t>E</w:t>
            </w:r>
            <w:r w:rsidR="009F3775" w:rsidRPr="0023633A">
              <w:rPr>
                <w:noProof/>
                <w:lang w:val="ro-RO"/>
              </w:rPr>
              <w:t xml:space="preserve">GSM of </w:t>
            </w:r>
            <w:r w:rsidR="009F3775" w:rsidRPr="0023633A">
              <w:rPr>
                <w:b/>
                <w:bCs/>
                <w:noProof/>
                <w:lang w:val="ro-RO"/>
              </w:rPr>
              <w:t>April 26</w:t>
            </w:r>
            <w:r w:rsidR="009F3775" w:rsidRPr="0023633A">
              <w:rPr>
                <w:b/>
                <w:bCs/>
                <w:noProof/>
                <w:vertAlign w:val="superscript"/>
                <w:lang w:val="ro-RO"/>
              </w:rPr>
              <w:t>th</w:t>
            </w:r>
            <w:r w:rsidR="009F3775" w:rsidRPr="0023633A">
              <w:rPr>
                <w:b/>
                <w:bCs/>
                <w:noProof/>
                <w:lang w:val="ro-RO"/>
              </w:rPr>
              <w:t>, 2024, 12:00 hrs.</w:t>
            </w:r>
            <w:r w:rsidR="009F3775" w:rsidRPr="0023633A">
              <w:rPr>
                <w:noProof/>
                <w:lang w:val="ro-RO"/>
              </w:rPr>
              <w:t xml:space="preserve"> (Romania time) and for the second convening of the same </w:t>
            </w:r>
            <w:r w:rsidR="00C50D7D" w:rsidRPr="0023633A">
              <w:rPr>
                <w:noProof/>
                <w:lang w:val="ro-RO"/>
              </w:rPr>
              <w:t>E</w:t>
            </w:r>
            <w:r w:rsidR="009F3775" w:rsidRPr="0023633A">
              <w:rPr>
                <w:noProof/>
                <w:lang w:val="ro-RO"/>
              </w:rPr>
              <w:t>GSM on April 29</w:t>
            </w:r>
            <w:r w:rsidR="009F3775" w:rsidRPr="0023633A">
              <w:rPr>
                <w:noProof/>
                <w:vertAlign w:val="superscript"/>
                <w:lang w:val="ro-RO"/>
              </w:rPr>
              <w:t>th</w:t>
            </w:r>
            <w:r w:rsidR="009F3775" w:rsidRPr="0023633A">
              <w:rPr>
                <w:noProof/>
                <w:lang w:val="ro-RO"/>
              </w:rPr>
              <w:t>, 2024, 12:00 hrs. (Romania time), if the case.</w:t>
            </w:r>
          </w:p>
          <w:p w14:paraId="415776B1" w14:textId="77777777" w:rsidR="00F46242" w:rsidRPr="0023633A" w:rsidRDefault="00CD6CCC" w:rsidP="00F46242">
            <w:pPr>
              <w:pStyle w:val="AODocTxt"/>
              <w:spacing w:line="240" w:lineRule="auto"/>
              <w:rPr>
                <w:noProof/>
                <w:lang w:val="ro-RO"/>
              </w:rPr>
            </w:pPr>
            <w:r w:rsidRPr="0023633A">
              <w:rPr>
                <w:noProof/>
                <w:lang w:val="ro-RO"/>
              </w:rPr>
              <w:t xml:space="preserve">b. the deadline for its registration at Sphera’s registry of its registered office, in hard copy or by e-mail (according to </w:t>
            </w:r>
            <w:r w:rsidR="008853CB" w:rsidRPr="0023633A">
              <w:rPr>
                <w:noProof/>
                <w:lang w:val="ro-RO"/>
              </w:rPr>
              <w:t>L</w:t>
            </w:r>
            <w:r w:rsidRPr="0023633A">
              <w:rPr>
                <w:noProof/>
                <w:lang w:val="ro-RO"/>
              </w:rPr>
              <w:t>aw no. 455/2001 on the electronic signature</w:t>
            </w:r>
            <w:r w:rsidR="008853CB" w:rsidRPr="0023633A">
              <w:rPr>
                <w:noProof/>
                <w:lang w:val="ro-RO"/>
              </w:rPr>
              <w:t>, republished</w:t>
            </w:r>
            <w:r w:rsidRPr="0023633A">
              <w:rPr>
                <w:noProof/>
                <w:lang w:val="ro-RO"/>
              </w:rPr>
              <w:t xml:space="preserve">) is </w:t>
            </w:r>
            <w:r w:rsidR="00F46242" w:rsidRPr="0023633A">
              <w:rPr>
                <w:noProof/>
                <w:lang w:val="ro-RO"/>
              </w:rPr>
              <w:t>April 24</w:t>
            </w:r>
            <w:r w:rsidR="00F46242" w:rsidRPr="0023633A">
              <w:rPr>
                <w:noProof/>
                <w:vertAlign w:val="superscript"/>
                <w:lang w:val="ro-RO"/>
              </w:rPr>
              <w:t>th</w:t>
            </w:r>
            <w:r w:rsidR="00F46242" w:rsidRPr="0023633A">
              <w:rPr>
                <w:noProof/>
                <w:lang w:val="ro-RO"/>
              </w:rPr>
              <w:t>, 2024, 12:00 hrs. (Romania time).</w:t>
            </w:r>
          </w:p>
          <w:p w14:paraId="2CEBDD4C" w14:textId="53713526" w:rsidR="00924A03" w:rsidRPr="0023633A" w:rsidRDefault="00CD6CCC" w:rsidP="005B79A7">
            <w:pPr>
              <w:pStyle w:val="AODocTxt"/>
              <w:spacing w:line="240" w:lineRule="auto"/>
              <w:rPr>
                <w:noProof/>
                <w:lang w:val="ro-RO"/>
              </w:rPr>
            </w:pPr>
            <w:r w:rsidRPr="0023633A">
              <w:rPr>
                <w:noProof/>
                <w:lang w:val="ro-RO"/>
              </w:rPr>
              <w:t>c. is elaborated in two original counterparts, out of which: one</w:t>
            </w:r>
            <w:r w:rsidR="008853CB" w:rsidRPr="0023633A">
              <w:rPr>
                <w:noProof/>
                <w:lang w:val="ro-RO"/>
              </w:rPr>
              <w:t xml:space="preserve"> (1)</w:t>
            </w:r>
            <w:r w:rsidRPr="0023633A">
              <w:rPr>
                <w:noProof/>
                <w:lang w:val="ro-RO"/>
              </w:rPr>
              <w:t xml:space="preserve"> counterpart is received by the shareholder and one </w:t>
            </w:r>
            <w:r w:rsidR="008853CB" w:rsidRPr="0023633A">
              <w:rPr>
                <w:noProof/>
                <w:lang w:val="ro-RO"/>
              </w:rPr>
              <w:t xml:space="preserve">(1) </w:t>
            </w:r>
            <w:r w:rsidRPr="0023633A">
              <w:rPr>
                <w:noProof/>
                <w:lang w:val="ro-RO"/>
              </w:rPr>
              <w:t>counterpart shall be submitted/sent to Sphera’s registered office (registry).</w:t>
            </w:r>
          </w:p>
        </w:tc>
      </w:tr>
      <w:tr w:rsidR="00924A03" w:rsidRPr="0023633A" w14:paraId="691E3721" w14:textId="77777777" w:rsidTr="00FC46B1">
        <w:tc>
          <w:tcPr>
            <w:tcW w:w="5000" w:type="pct"/>
          </w:tcPr>
          <w:p w14:paraId="55CCA187" w14:textId="77777777" w:rsidR="004417FD" w:rsidRPr="0023633A" w:rsidRDefault="00924A03" w:rsidP="005B79A7">
            <w:pPr>
              <w:pStyle w:val="AODocTxt"/>
              <w:numPr>
                <w:ilvl w:val="0"/>
                <w:numId w:val="0"/>
              </w:numPr>
              <w:spacing w:line="240" w:lineRule="auto"/>
              <w:rPr>
                <w:b/>
                <w:noProof/>
                <w:lang w:val="ro-RO"/>
              </w:rPr>
            </w:pPr>
            <w:r w:rsidRPr="0023633A">
              <w:rPr>
                <w:b/>
                <w:noProof/>
                <w:lang w:val="ro-RO"/>
              </w:rPr>
              <w:t xml:space="preserve">I </w:t>
            </w:r>
            <w:r w:rsidR="008853CB" w:rsidRPr="0023633A">
              <w:rPr>
                <w:b/>
                <w:noProof/>
                <w:lang w:val="ro-RO"/>
              </w:rPr>
              <w:t xml:space="preserve">hereby </w:t>
            </w:r>
            <w:r w:rsidRPr="0023633A">
              <w:rPr>
                <w:b/>
                <w:noProof/>
                <w:lang w:val="ro-RO"/>
              </w:rPr>
              <w:t>attach to this ballot</w:t>
            </w:r>
            <w:r w:rsidR="004417FD" w:rsidRPr="0023633A">
              <w:rPr>
                <w:b/>
                <w:noProof/>
                <w:lang w:val="ro-RO"/>
              </w:rPr>
              <w:t>:</w:t>
            </w:r>
          </w:p>
          <w:p w14:paraId="265D9362" w14:textId="77777777" w:rsidR="004417FD" w:rsidRPr="0023633A" w:rsidRDefault="00924A03" w:rsidP="005B79A7">
            <w:pPr>
              <w:pStyle w:val="AODocTxt"/>
              <w:numPr>
                <w:ilvl w:val="0"/>
                <w:numId w:val="20"/>
              </w:numPr>
              <w:spacing w:line="240" w:lineRule="auto"/>
              <w:ind w:left="450" w:hanging="450"/>
              <w:rPr>
                <w:noProof/>
                <w:lang w:val="ro-RO"/>
              </w:rPr>
            </w:pPr>
            <w:r w:rsidRPr="0023633A">
              <w:rPr>
                <w:noProof/>
                <w:lang w:val="ro-RO"/>
              </w:rPr>
              <w:t>the copy of the identity card of the undersigned (identity card for Romanian citizens, or passport for foreign citizens)</w:t>
            </w:r>
            <w:r w:rsidR="00F907F1" w:rsidRPr="0023633A">
              <w:rPr>
                <w:noProof/>
                <w:lang w:val="ro-RO"/>
              </w:rPr>
              <w:t>;</w:t>
            </w:r>
          </w:p>
          <w:p w14:paraId="6EEBDA2F" w14:textId="5B47097E" w:rsidR="00FD4EFC" w:rsidRPr="0023633A" w:rsidRDefault="004417FD" w:rsidP="005B79A7">
            <w:pPr>
              <w:pStyle w:val="AODocTxt"/>
              <w:numPr>
                <w:ilvl w:val="0"/>
                <w:numId w:val="20"/>
              </w:numPr>
              <w:spacing w:line="240" w:lineRule="auto"/>
              <w:ind w:left="450" w:hanging="450"/>
              <w:rPr>
                <w:noProof/>
                <w:lang w:val="ro-RO"/>
              </w:rPr>
            </w:pPr>
            <w:r w:rsidRPr="0023633A">
              <w:rPr>
                <w:noProof/>
                <w:lang w:val="ro-RO"/>
              </w:rPr>
              <w:t xml:space="preserve">only in case of ballot by correspondence exercised by </w:t>
            </w:r>
            <w:r w:rsidR="00E93698" w:rsidRPr="0023633A">
              <w:rPr>
                <w:noProof/>
                <w:lang w:val="ro-RO"/>
              </w:rPr>
              <w:t>a representative</w:t>
            </w:r>
            <w:r w:rsidRPr="0023633A">
              <w:rPr>
                <w:noProof/>
                <w:lang w:val="ro-RO"/>
              </w:rPr>
              <w:t xml:space="preserve">, copy of the identity document of the representative </w:t>
            </w:r>
            <w:r w:rsidR="00E93698" w:rsidRPr="0023633A">
              <w:rPr>
                <w:noProof/>
                <w:lang w:val="ro-RO"/>
              </w:rPr>
              <w:t>individual</w:t>
            </w:r>
            <w:r w:rsidRPr="0023633A">
              <w:rPr>
                <w:noProof/>
                <w:lang w:val="ro-RO"/>
              </w:rPr>
              <w:t xml:space="preserve"> (identity card for Romanian citizens or passport for foreign citizens). If the representative is a legal person, I also attach </w:t>
            </w:r>
            <w:r w:rsidRPr="0023633A">
              <w:rPr>
                <w:b/>
                <w:noProof/>
                <w:lang w:val="ro-RO"/>
              </w:rPr>
              <w:t>a)</w:t>
            </w:r>
            <w:r w:rsidRPr="0023633A">
              <w:rPr>
                <w:noProof/>
                <w:lang w:val="ro-RO"/>
              </w:rPr>
              <w:t xml:space="preserve"> the certificate of status of the </w:t>
            </w:r>
            <w:r w:rsidR="00E93698" w:rsidRPr="0023633A">
              <w:rPr>
                <w:noProof/>
                <w:lang w:val="ro-RO"/>
              </w:rPr>
              <w:t xml:space="preserve">representative </w:t>
            </w:r>
            <w:r w:rsidRPr="0023633A">
              <w:rPr>
                <w:noProof/>
                <w:lang w:val="ro-RO"/>
              </w:rPr>
              <w:t xml:space="preserve">legal person, in original or true copy, issued by the Trade Registry, not older than 3 months before the </w:t>
            </w:r>
            <w:r w:rsidR="00C50D7D" w:rsidRPr="0023633A">
              <w:rPr>
                <w:noProof/>
                <w:lang w:val="ro-RO"/>
              </w:rPr>
              <w:t>E</w:t>
            </w:r>
            <w:r w:rsidRPr="0023633A">
              <w:rPr>
                <w:noProof/>
                <w:lang w:val="ro-RO"/>
              </w:rPr>
              <w:t xml:space="preserve">GSM date, or any other document, in original or true copy, issued by a </w:t>
            </w:r>
            <w:r w:rsidR="00E93698" w:rsidRPr="0023633A">
              <w:rPr>
                <w:noProof/>
                <w:lang w:val="ro-RO"/>
              </w:rPr>
              <w:t>competent</w:t>
            </w:r>
            <w:r w:rsidRPr="0023633A">
              <w:rPr>
                <w:noProof/>
                <w:lang w:val="ro-RO"/>
              </w:rPr>
              <w:t xml:space="preserve"> authority of the origin state, not older than 3 months before the </w:t>
            </w:r>
            <w:r w:rsidR="00C50D7D" w:rsidRPr="0023633A">
              <w:rPr>
                <w:noProof/>
                <w:lang w:val="ro-RO"/>
              </w:rPr>
              <w:t>E</w:t>
            </w:r>
            <w:r w:rsidRPr="0023633A">
              <w:rPr>
                <w:noProof/>
                <w:lang w:val="ro-RO"/>
              </w:rPr>
              <w:t xml:space="preserve">GSM date, and </w:t>
            </w:r>
            <w:r w:rsidRPr="0023633A">
              <w:rPr>
                <w:b/>
                <w:noProof/>
                <w:lang w:val="ro-RO"/>
              </w:rPr>
              <w:t>b)</w:t>
            </w:r>
            <w:r w:rsidRPr="0023633A">
              <w:rPr>
                <w:noProof/>
                <w:lang w:val="ro-RO"/>
              </w:rPr>
              <w:t xml:space="preserve"> a copy of the identity document of the legal representative (identity card for Romanian citizens or passport for foreign citizens) of the representative legal </w:t>
            </w:r>
            <w:r w:rsidR="00E93698" w:rsidRPr="0023633A">
              <w:rPr>
                <w:noProof/>
                <w:lang w:val="ro-RO"/>
              </w:rPr>
              <w:t>person</w:t>
            </w:r>
            <w:r w:rsidR="00FD4EFC" w:rsidRPr="0023633A">
              <w:rPr>
                <w:noProof/>
                <w:lang w:val="ro-RO"/>
              </w:rPr>
              <w:t>;</w:t>
            </w:r>
          </w:p>
        </w:tc>
      </w:tr>
      <w:tr w:rsidR="00924A03" w:rsidRPr="0023633A" w14:paraId="38FD9F40" w14:textId="77777777" w:rsidTr="00FC46B1">
        <w:tc>
          <w:tcPr>
            <w:tcW w:w="5000" w:type="pct"/>
          </w:tcPr>
          <w:p w14:paraId="4735E925" w14:textId="77777777" w:rsidR="00924A03" w:rsidRPr="0023633A" w:rsidRDefault="00924A03" w:rsidP="005B79A7">
            <w:pPr>
              <w:pStyle w:val="AODocTxt"/>
              <w:spacing w:line="240" w:lineRule="auto"/>
              <w:rPr>
                <w:noProof/>
                <w:lang w:val="ro-RO"/>
              </w:rPr>
            </w:pPr>
          </w:p>
          <w:p w14:paraId="7A3E0974" w14:textId="77777777" w:rsidR="00924A03" w:rsidRPr="0023633A" w:rsidRDefault="00924A03" w:rsidP="005B79A7">
            <w:pPr>
              <w:pStyle w:val="AODocTxt"/>
              <w:spacing w:line="240" w:lineRule="auto"/>
              <w:rPr>
                <w:noProof/>
                <w:lang w:val="ro-RO"/>
              </w:rPr>
            </w:pPr>
            <w:r w:rsidRPr="0023633A">
              <w:rPr>
                <w:noProof/>
                <w:lang w:val="ro-RO"/>
              </w:rPr>
              <w:t>Date of the ballot by correspondence ____________________</w:t>
            </w:r>
          </w:p>
        </w:tc>
      </w:tr>
      <w:tr w:rsidR="00924A03" w:rsidRPr="0023633A" w14:paraId="667F1CA5" w14:textId="77777777" w:rsidTr="00FC46B1">
        <w:tc>
          <w:tcPr>
            <w:tcW w:w="5000" w:type="pct"/>
          </w:tcPr>
          <w:p w14:paraId="74D33AAE" w14:textId="77777777" w:rsidR="00924A03" w:rsidRPr="0023633A" w:rsidRDefault="00924A03" w:rsidP="008C79F0">
            <w:pPr>
              <w:pStyle w:val="AODocTxt"/>
              <w:numPr>
                <w:ilvl w:val="0"/>
                <w:numId w:val="0"/>
              </w:numPr>
              <w:spacing w:line="240" w:lineRule="auto"/>
              <w:rPr>
                <w:noProof/>
                <w:lang w:val="ro-RO"/>
              </w:rPr>
            </w:pPr>
          </w:p>
        </w:tc>
      </w:tr>
      <w:tr w:rsidR="00924A03" w:rsidRPr="0023633A" w14:paraId="54EDF2BA" w14:textId="77777777" w:rsidTr="00FC46B1">
        <w:tc>
          <w:tcPr>
            <w:tcW w:w="5000" w:type="pct"/>
          </w:tcPr>
          <w:p w14:paraId="357AD476" w14:textId="77777777" w:rsidR="00924A03" w:rsidRPr="0023633A" w:rsidRDefault="00924A03" w:rsidP="008C79F0">
            <w:pPr>
              <w:pStyle w:val="AODocTxt"/>
              <w:numPr>
                <w:ilvl w:val="0"/>
                <w:numId w:val="0"/>
              </w:numPr>
              <w:spacing w:line="240" w:lineRule="auto"/>
              <w:rPr>
                <w:noProof/>
                <w:lang w:val="ro-RO"/>
              </w:rPr>
            </w:pPr>
            <w:r w:rsidRPr="0023633A">
              <w:rPr>
                <w:noProof/>
                <w:lang w:val="ro-RO"/>
              </w:rPr>
              <w:t xml:space="preserve">______________________________ </w:t>
            </w:r>
          </w:p>
          <w:p w14:paraId="443589A2" w14:textId="77777777" w:rsidR="00924A03" w:rsidRPr="0023633A" w:rsidRDefault="00924A03" w:rsidP="005B79A7">
            <w:pPr>
              <w:pStyle w:val="AODocTxt"/>
              <w:spacing w:line="240" w:lineRule="auto"/>
              <w:rPr>
                <w:noProof/>
                <w:lang w:val="ro-RO"/>
              </w:rPr>
            </w:pPr>
            <w:r w:rsidRPr="0023633A">
              <w:rPr>
                <w:noProof/>
                <w:color w:val="808080"/>
                <w:lang w:val="ro-RO"/>
              </w:rPr>
              <w:t>(</w:t>
            </w:r>
            <w:r w:rsidRPr="0023633A">
              <w:rPr>
                <w:i/>
                <w:noProof/>
                <w:color w:val="808080"/>
                <w:lang w:val="ro-RO"/>
              </w:rPr>
              <w:t xml:space="preserve">Drafting note: </w:t>
            </w:r>
            <w:r w:rsidR="004417FD" w:rsidRPr="0023633A">
              <w:rPr>
                <w:i/>
                <w:noProof/>
                <w:color w:val="808080"/>
                <w:lang w:val="ro-RO"/>
              </w:rPr>
              <w:t xml:space="preserve">to be signed by the shareholder or, as the case may be, </w:t>
            </w:r>
            <w:r w:rsidR="00E93698" w:rsidRPr="0023633A">
              <w:rPr>
                <w:i/>
                <w:noProof/>
                <w:color w:val="808080"/>
                <w:lang w:val="ro-RO"/>
              </w:rPr>
              <w:t xml:space="preserve">by </w:t>
            </w:r>
            <w:r w:rsidR="004417FD" w:rsidRPr="0023633A">
              <w:rPr>
                <w:i/>
                <w:noProof/>
                <w:color w:val="808080"/>
                <w:lang w:val="ro-RO"/>
              </w:rPr>
              <w:t>the shareholder’s representative.</w:t>
            </w:r>
            <w:r w:rsidRPr="0023633A">
              <w:rPr>
                <w:noProof/>
                <w:color w:val="808080"/>
                <w:lang w:val="ro-RO"/>
              </w:rPr>
              <w:t>)</w:t>
            </w:r>
          </w:p>
        </w:tc>
      </w:tr>
      <w:bookmarkEnd w:id="0"/>
      <w:bookmarkEnd w:id="1"/>
      <w:bookmarkEnd w:id="2"/>
    </w:tbl>
    <w:p w14:paraId="6801C6D0" w14:textId="4F287A4D" w:rsidR="00C75F05" w:rsidRPr="0023633A" w:rsidRDefault="00C75F05" w:rsidP="003E7777">
      <w:pPr>
        <w:pStyle w:val="Stext"/>
        <w:spacing w:after="100" w:afterAutospacing="1"/>
        <w:rPr>
          <w:rFonts w:ascii="Times New Roman" w:hAnsi="Times New Roman"/>
          <w:sz w:val="22"/>
          <w:szCs w:val="22"/>
        </w:rPr>
      </w:pPr>
    </w:p>
    <w:sectPr w:rsidR="00C75F05" w:rsidRPr="0023633A" w:rsidSect="006A23DF">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FD6BF" w14:textId="77777777" w:rsidR="00BA373E" w:rsidRDefault="00BA373E">
      <w:r>
        <w:separator/>
      </w:r>
    </w:p>
  </w:endnote>
  <w:endnote w:type="continuationSeparator" w:id="0">
    <w:p w14:paraId="589880BB" w14:textId="77777777" w:rsidR="00BA373E" w:rsidRDefault="00BA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6" w:name="bmkFooterPrimaryDoc"/>
          <w:bookmarkStart w:id="7"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6"/>
    <w:bookmarkEnd w:id="7"/>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1"/>
    <w:bookmarkEnd w:id="12"/>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51311" w14:textId="77777777" w:rsidR="00BA373E" w:rsidRDefault="00BA373E">
      <w:r>
        <w:separator/>
      </w:r>
    </w:p>
  </w:footnote>
  <w:footnote w:type="continuationSeparator" w:id="0">
    <w:p w14:paraId="327BE7BF" w14:textId="77777777" w:rsidR="00BA373E" w:rsidRDefault="00BA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AB2B" w14:textId="77777777" w:rsidR="00813FED" w:rsidRPr="007F15EF" w:rsidRDefault="00813FED"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6"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9"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5"/>
  </w:num>
  <w:num w:numId="2" w16cid:durableId="1259293568">
    <w:abstractNumId w:val="20"/>
  </w:num>
  <w:num w:numId="3" w16cid:durableId="582571855">
    <w:abstractNumId w:val="15"/>
  </w:num>
  <w:num w:numId="4" w16cid:durableId="920026864">
    <w:abstractNumId w:val="18"/>
  </w:num>
  <w:num w:numId="5" w16cid:durableId="390421037">
    <w:abstractNumId w:val="14"/>
  </w:num>
  <w:num w:numId="6" w16cid:durableId="1069765589">
    <w:abstractNumId w:val="1"/>
  </w:num>
  <w:num w:numId="7" w16cid:durableId="1707175678">
    <w:abstractNumId w:val="9"/>
  </w:num>
  <w:num w:numId="8" w16cid:durableId="1134757268">
    <w:abstractNumId w:val="12"/>
  </w:num>
  <w:num w:numId="9" w16cid:durableId="672417072">
    <w:abstractNumId w:val="22"/>
  </w:num>
  <w:num w:numId="10" w16cid:durableId="1928876813">
    <w:abstractNumId w:val="10"/>
  </w:num>
  <w:num w:numId="11" w16cid:durableId="1930503753">
    <w:abstractNumId w:val="13"/>
  </w:num>
  <w:num w:numId="12" w16cid:durableId="91056193">
    <w:abstractNumId w:val="16"/>
  </w:num>
  <w:num w:numId="13" w16cid:durableId="1272935997">
    <w:abstractNumId w:val="2"/>
  </w:num>
  <w:num w:numId="14" w16cid:durableId="1723167743">
    <w:abstractNumId w:val="17"/>
  </w:num>
  <w:num w:numId="15" w16cid:durableId="1423188108">
    <w:abstractNumId w:val="6"/>
  </w:num>
  <w:num w:numId="16" w16cid:durableId="1608081870">
    <w:abstractNumId w:val="19"/>
  </w:num>
  <w:num w:numId="17" w16cid:durableId="1964075696">
    <w:abstractNumId w:val="3"/>
  </w:num>
  <w:num w:numId="18" w16cid:durableId="660082156">
    <w:abstractNumId w:val="21"/>
  </w:num>
  <w:num w:numId="19" w16cid:durableId="1523938035">
    <w:abstractNumId w:val="11"/>
  </w:num>
  <w:num w:numId="20" w16cid:durableId="667056055">
    <w:abstractNumId w:val="0"/>
  </w:num>
  <w:num w:numId="21" w16cid:durableId="2069643741">
    <w:abstractNumId w:val="7"/>
  </w:num>
  <w:num w:numId="22" w16cid:durableId="2009208355">
    <w:abstractNumId w:val="4"/>
  </w:num>
  <w:num w:numId="23" w16cid:durableId="1758746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8"/>
  </w:num>
  <w:num w:numId="25" w16cid:durableId="1984431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26B"/>
    <w:rsid w:val="0009571E"/>
    <w:rsid w:val="00095CBA"/>
    <w:rsid w:val="000A16E0"/>
    <w:rsid w:val="000A1852"/>
    <w:rsid w:val="000A3AF0"/>
    <w:rsid w:val="000A4674"/>
    <w:rsid w:val="000A6E6C"/>
    <w:rsid w:val="000B161C"/>
    <w:rsid w:val="000B5294"/>
    <w:rsid w:val="000B6766"/>
    <w:rsid w:val="000C314E"/>
    <w:rsid w:val="000C35EC"/>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DDA"/>
    <w:rsid w:val="00222B47"/>
    <w:rsid w:val="002243D0"/>
    <w:rsid w:val="002256A6"/>
    <w:rsid w:val="0022620B"/>
    <w:rsid w:val="0023633A"/>
    <w:rsid w:val="00236459"/>
    <w:rsid w:val="0024001A"/>
    <w:rsid w:val="002400A7"/>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26FB"/>
    <w:rsid w:val="002742B0"/>
    <w:rsid w:val="00274DC2"/>
    <w:rsid w:val="00275705"/>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3490"/>
    <w:rsid w:val="002E5603"/>
    <w:rsid w:val="002F1D5C"/>
    <w:rsid w:val="002F20A7"/>
    <w:rsid w:val="00300C5B"/>
    <w:rsid w:val="00300EF5"/>
    <w:rsid w:val="003034DA"/>
    <w:rsid w:val="00303506"/>
    <w:rsid w:val="00303AA7"/>
    <w:rsid w:val="0030422C"/>
    <w:rsid w:val="003044F7"/>
    <w:rsid w:val="00310B85"/>
    <w:rsid w:val="003115EF"/>
    <w:rsid w:val="00317197"/>
    <w:rsid w:val="00320911"/>
    <w:rsid w:val="003215DF"/>
    <w:rsid w:val="00323A6A"/>
    <w:rsid w:val="0032413C"/>
    <w:rsid w:val="003257A6"/>
    <w:rsid w:val="0032646B"/>
    <w:rsid w:val="003264F5"/>
    <w:rsid w:val="00331E0D"/>
    <w:rsid w:val="003338DB"/>
    <w:rsid w:val="00334EE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02"/>
    <w:rsid w:val="003935D7"/>
    <w:rsid w:val="00393743"/>
    <w:rsid w:val="00393E3B"/>
    <w:rsid w:val="003952C9"/>
    <w:rsid w:val="00397CBD"/>
    <w:rsid w:val="003A1FC2"/>
    <w:rsid w:val="003A38B7"/>
    <w:rsid w:val="003A463C"/>
    <w:rsid w:val="003A563B"/>
    <w:rsid w:val="003A5805"/>
    <w:rsid w:val="003A5C57"/>
    <w:rsid w:val="003A7A59"/>
    <w:rsid w:val="003B0F17"/>
    <w:rsid w:val="003B1B13"/>
    <w:rsid w:val="003B22B4"/>
    <w:rsid w:val="003B41D9"/>
    <w:rsid w:val="003B45B1"/>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204E7"/>
    <w:rsid w:val="0052095F"/>
    <w:rsid w:val="00520E7B"/>
    <w:rsid w:val="0052289B"/>
    <w:rsid w:val="005230E8"/>
    <w:rsid w:val="00523408"/>
    <w:rsid w:val="00524715"/>
    <w:rsid w:val="0053077B"/>
    <w:rsid w:val="00532333"/>
    <w:rsid w:val="00532E13"/>
    <w:rsid w:val="0053337F"/>
    <w:rsid w:val="0053369C"/>
    <w:rsid w:val="0053481F"/>
    <w:rsid w:val="00537781"/>
    <w:rsid w:val="00537B15"/>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71815"/>
    <w:rsid w:val="00673729"/>
    <w:rsid w:val="006749C6"/>
    <w:rsid w:val="00681347"/>
    <w:rsid w:val="006828D1"/>
    <w:rsid w:val="00683073"/>
    <w:rsid w:val="006865D5"/>
    <w:rsid w:val="0069237C"/>
    <w:rsid w:val="0069289F"/>
    <w:rsid w:val="00694171"/>
    <w:rsid w:val="006974D9"/>
    <w:rsid w:val="006A23DF"/>
    <w:rsid w:val="006A2582"/>
    <w:rsid w:val="006A39AE"/>
    <w:rsid w:val="006A5208"/>
    <w:rsid w:val="006A737B"/>
    <w:rsid w:val="006B061A"/>
    <w:rsid w:val="006B0632"/>
    <w:rsid w:val="006B0F44"/>
    <w:rsid w:val="006B1B5D"/>
    <w:rsid w:val="006B60E4"/>
    <w:rsid w:val="006B683D"/>
    <w:rsid w:val="006B7971"/>
    <w:rsid w:val="006C199B"/>
    <w:rsid w:val="006C1EEE"/>
    <w:rsid w:val="006C29B9"/>
    <w:rsid w:val="006C4197"/>
    <w:rsid w:val="006C48E8"/>
    <w:rsid w:val="006C54DE"/>
    <w:rsid w:val="006C64A6"/>
    <w:rsid w:val="006C66AD"/>
    <w:rsid w:val="006D0D7B"/>
    <w:rsid w:val="006D1456"/>
    <w:rsid w:val="006D1C30"/>
    <w:rsid w:val="006D516A"/>
    <w:rsid w:val="006D6A6B"/>
    <w:rsid w:val="006E117E"/>
    <w:rsid w:val="006E3EB0"/>
    <w:rsid w:val="006E44A8"/>
    <w:rsid w:val="006E6DCA"/>
    <w:rsid w:val="006E7A99"/>
    <w:rsid w:val="006F1355"/>
    <w:rsid w:val="006F3D4B"/>
    <w:rsid w:val="006F66FA"/>
    <w:rsid w:val="007001F5"/>
    <w:rsid w:val="007019C4"/>
    <w:rsid w:val="007044AA"/>
    <w:rsid w:val="007104A5"/>
    <w:rsid w:val="00712913"/>
    <w:rsid w:val="007160E3"/>
    <w:rsid w:val="00717537"/>
    <w:rsid w:val="007206C4"/>
    <w:rsid w:val="00724750"/>
    <w:rsid w:val="0072480C"/>
    <w:rsid w:val="00725DAF"/>
    <w:rsid w:val="007272F2"/>
    <w:rsid w:val="0073067B"/>
    <w:rsid w:val="00734410"/>
    <w:rsid w:val="00736AD8"/>
    <w:rsid w:val="007401D7"/>
    <w:rsid w:val="00741AFA"/>
    <w:rsid w:val="00741B0E"/>
    <w:rsid w:val="00742B82"/>
    <w:rsid w:val="0074755D"/>
    <w:rsid w:val="00747B82"/>
    <w:rsid w:val="007519E1"/>
    <w:rsid w:val="0075763A"/>
    <w:rsid w:val="00760C81"/>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5057"/>
    <w:rsid w:val="007962B4"/>
    <w:rsid w:val="00796347"/>
    <w:rsid w:val="00796D39"/>
    <w:rsid w:val="00796F4B"/>
    <w:rsid w:val="00797999"/>
    <w:rsid w:val="00797C65"/>
    <w:rsid w:val="007A37C4"/>
    <w:rsid w:val="007A4CA4"/>
    <w:rsid w:val="007A5154"/>
    <w:rsid w:val="007B001F"/>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1C09"/>
    <w:rsid w:val="00892DA5"/>
    <w:rsid w:val="008938F2"/>
    <w:rsid w:val="00893CBB"/>
    <w:rsid w:val="00895818"/>
    <w:rsid w:val="00897494"/>
    <w:rsid w:val="008A023C"/>
    <w:rsid w:val="008A0D00"/>
    <w:rsid w:val="008A571B"/>
    <w:rsid w:val="008A7F0D"/>
    <w:rsid w:val="008A7F11"/>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F8D"/>
    <w:rsid w:val="00924A03"/>
    <w:rsid w:val="009257A3"/>
    <w:rsid w:val="00926333"/>
    <w:rsid w:val="00927683"/>
    <w:rsid w:val="0093055F"/>
    <w:rsid w:val="00930EBC"/>
    <w:rsid w:val="00931C49"/>
    <w:rsid w:val="00932914"/>
    <w:rsid w:val="00935640"/>
    <w:rsid w:val="00935910"/>
    <w:rsid w:val="00937B25"/>
    <w:rsid w:val="00940D69"/>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B702A"/>
    <w:rsid w:val="009C0120"/>
    <w:rsid w:val="009C1CAA"/>
    <w:rsid w:val="009C42E4"/>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101B0"/>
    <w:rsid w:val="00A10D5B"/>
    <w:rsid w:val="00A110EF"/>
    <w:rsid w:val="00A139FB"/>
    <w:rsid w:val="00A17F64"/>
    <w:rsid w:val="00A2191C"/>
    <w:rsid w:val="00A23844"/>
    <w:rsid w:val="00A23C68"/>
    <w:rsid w:val="00A257FD"/>
    <w:rsid w:val="00A26D1B"/>
    <w:rsid w:val="00A304C0"/>
    <w:rsid w:val="00A32611"/>
    <w:rsid w:val="00A341BF"/>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C0A49"/>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11E2F"/>
    <w:rsid w:val="00B121C5"/>
    <w:rsid w:val="00B1403E"/>
    <w:rsid w:val="00B1453E"/>
    <w:rsid w:val="00B2029C"/>
    <w:rsid w:val="00B21015"/>
    <w:rsid w:val="00B27A58"/>
    <w:rsid w:val="00B308A8"/>
    <w:rsid w:val="00B329C7"/>
    <w:rsid w:val="00B32B8B"/>
    <w:rsid w:val="00B36917"/>
    <w:rsid w:val="00B36DE9"/>
    <w:rsid w:val="00B4116A"/>
    <w:rsid w:val="00B42513"/>
    <w:rsid w:val="00B4267B"/>
    <w:rsid w:val="00B462AA"/>
    <w:rsid w:val="00B47E34"/>
    <w:rsid w:val="00B541F0"/>
    <w:rsid w:val="00B556F2"/>
    <w:rsid w:val="00B63177"/>
    <w:rsid w:val="00B6562E"/>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281"/>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0D7D"/>
    <w:rsid w:val="00C54062"/>
    <w:rsid w:val="00C57574"/>
    <w:rsid w:val="00C60D49"/>
    <w:rsid w:val="00C61525"/>
    <w:rsid w:val="00C635FE"/>
    <w:rsid w:val="00C64972"/>
    <w:rsid w:val="00C658CB"/>
    <w:rsid w:val="00C65E8C"/>
    <w:rsid w:val="00C67812"/>
    <w:rsid w:val="00C70BB6"/>
    <w:rsid w:val="00C7482C"/>
    <w:rsid w:val="00C74D59"/>
    <w:rsid w:val="00C74FA9"/>
    <w:rsid w:val="00C75F05"/>
    <w:rsid w:val="00C76247"/>
    <w:rsid w:val="00C77452"/>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D00AE7"/>
    <w:rsid w:val="00D049B1"/>
    <w:rsid w:val="00D05DC9"/>
    <w:rsid w:val="00D06941"/>
    <w:rsid w:val="00D06C67"/>
    <w:rsid w:val="00D15814"/>
    <w:rsid w:val="00D16EAB"/>
    <w:rsid w:val="00D172F4"/>
    <w:rsid w:val="00D20FE5"/>
    <w:rsid w:val="00D21559"/>
    <w:rsid w:val="00D22FDB"/>
    <w:rsid w:val="00D230E1"/>
    <w:rsid w:val="00D2310E"/>
    <w:rsid w:val="00D25A7F"/>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B0B45"/>
    <w:rsid w:val="00EB22CD"/>
    <w:rsid w:val="00EB4C06"/>
    <w:rsid w:val="00EB593C"/>
    <w:rsid w:val="00EB75A0"/>
    <w:rsid w:val="00EC32E0"/>
    <w:rsid w:val="00EC3304"/>
    <w:rsid w:val="00EC6EBE"/>
    <w:rsid w:val="00EC7370"/>
    <w:rsid w:val="00EC7D8F"/>
    <w:rsid w:val="00ED1589"/>
    <w:rsid w:val="00ED187A"/>
    <w:rsid w:val="00ED1D8D"/>
    <w:rsid w:val="00ED35F1"/>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63C8"/>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E0E51"/>
    <w:rsid w:val="00FE1BC8"/>
    <w:rsid w:val="00FE2456"/>
    <w:rsid w:val="00FE26DF"/>
    <w:rsid w:val="00FE305B"/>
    <w:rsid w:val="00FE4017"/>
    <w:rsid w:val="00FE7FAB"/>
    <w:rsid w:val="00FF05D9"/>
    <w:rsid w:val="00FF2172"/>
    <w:rsid w:val="00FF31F5"/>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Template>
  <TotalTime>6</TotalTime>
  <Pages>5</Pages>
  <Words>2554</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Adelina BREBEANU</cp:lastModifiedBy>
  <cp:revision>8</cp:revision>
  <cp:lastPrinted>2015-11-12T19:00:00Z</cp:lastPrinted>
  <dcterms:created xsi:type="dcterms:W3CDTF">2024-03-26T07:15:00Z</dcterms:created>
  <dcterms:modified xsi:type="dcterms:W3CDTF">2024-03-26T07:59:00Z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